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
<w:body>
<w:tbl>
<w:tblPr>
<w:tblW w:w="0" w:type="auto" />
<w:tblCellMar><w:left w:w="0" w:type="dxa"/><w:right w:w="0" w:type="dxa"/></w:tblCellMar>
<w:tblBorders>
<w:top w:val="none" w:sz="0" w:space="0" w:color="auto" />
<w:left w:val="none" w:sz="0" w:space="0" w:color="auto" />
<w:bottom w:val="none" w:sz="0" w:space="0" w:color="auto" />
<w:right w:val="none" w:sz="0" w:space="0" w:color="auto" />
<w:insideH w:val="none" w:sz="0" w:space="0" w:color="auto" />
<w:insideV w:val="none" w:sz="0" w:space="0" w:color="auto" />
</w:tblBorders>
</w:tblPr>
<w:tblGrid>
<w:gridCol w:w="142"  />
<w:gridCol w:w="284"  />
<w:gridCol w:w="709"  />
<w:gridCol w:w="1418"  />
<w:gridCol w:w="1418"  />
<w:gridCol w:w="709"  />
<w:gridCol w:w="425"  />
<w:gridCol w:w="1276"  />
<w:gridCol w:w="992"  />
<w:gridCol w:w="2835"  />
</w:tblGrid>
<w:tr>
<w:trPr>
<w:trHeight w:hRule="exact" w:val="1528.065"  />
</w:trPr>
<w:tc>
<w:tcPr>
<w:tcW w:w="143"  w:type="dxa" />
</w:tcPr>
<w:p />
</w:tc>
<w:tc>
<w:tcPr>
<w:tcW w:w="285"  w:type="dxa" />
</w:tcPr>
<w:p />
</w:tc>
<w:tc>
<w:tcPr>
<w:tcW w:w="710"  w:type="dxa" />
</w:tcPr>
<w:p />
</w:tc>
<w:tc>
<w:tcPr>
<w:tcW w:w="1419"  w:type="dxa" />
</w:tcPr>
<w:p />
</w:tc>
<w:tc>
<w:tcPr>
<w:tcW w:w="1419"  w:type="dxa" />
</w:tcPr>
<w:p />
</w:tc>
<w:tc>
<w:tcPr>
<w:tcW w:w="710"  w:type="dxa" />
</w:tcPr>
<w:p />
</w:tc>
<w:tc>
<w:tcPr>
<w:tcW w:w="5543.25"  w:type="dxa" />
<w:gridSpan w:val="4"  />
<w:tcBorders>
</w:tcBorders>
<w:shd w:val="clear" w:color="#000000" w:fill="#FFFFFF" />
<w:vAlign w:val="top"  />
<w:tcMar><w:left w:w="34"  w:type="dxa"/><w:right w:w="34"  w:type="dxa"/></w:tcMar>
</w:tcPr>
<w:p><w:pPr><w:jc w:val="both"  />
<w:spacing w:after="0" w:line="240"  w:lineRule="auto" />
<w:rPr><w:sz w:val="22"  /><w:szCs w:val="22"  /></w:rPr>
</w:pPr>
<w:r>
<w:rPr>
<w:rFonts w:ascii="Times New Roman"  w:hAnsi="Times New Roman"  w:cs="Times New Roman"  /> 
<w:color w:val="#000000" />
<w:sz w:val="22"  />
<w:szCs w:val="22"  />
</w:rPr>
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«Физкультурное образование», утв. приказом ректора ОмГА от 27.03.2023 № 51.</w:t>
</w:r>
</w:p>
</w:tc>
</w:tr>
<w:tr>
<w:trPr>
<w:trHeight w:hRule="exact" w:val="138.9151"  />
</w:trPr>
<w:tc>
<w:tcPr>
<w:tcW w:w="143"  w:type="dxa" />
</w:tcPr>
<w:p />
</w:tc>
<w:tc>
<w:tcPr>
<w:tcW w:w="285"  w:type="dxa" />
</w:tcPr>
<w:p />
</w:tc>
<w:tc>
<w:tcPr>
<w:tcW w:w="710"  w:type="dxa" />
</w:tcPr>
<w:p />
</w:tc>
<w:tc>
<w:tcPr>
<w:tcW w:w="1419"  w:type="dxa" />
</w:tcPr>
<w:p />
</w:tc>
<w:tc>
<w:tcPr>
<w:tcW w:w="1419"  w:type="dxa" />
</w:tcPr>
<w:p />
</w:tc>
<w:tc>
<w:tcPr>
<w:tcW w:w="710"  w:type="dxa" />
</w:tcPr>
<w:p />
</w:tc>
<w:tc>
<w:tcPr>
<w:tcW w:w="426"  w:type="dxa" />
</w:tcPr>
<w:p />
</w:tc>
<w:tc>
<w:tcPr>
<w:tcW w:w="1277"  w:type="dxa" />
</w:tcPr>
<w:p />
</w:tc>
<w:tc>
<w:tcPr>
<w:tcW w:w="993"  w:type="dxa" />
</w:tcPr>
<w:p />
</w:tc>
<w:tc>
<w:tcPr>
<w:tcW w:w="2836"  w:type="dxa" />
</w:tcPr>
<w:p />
</w:tc>
</w:tr>
<w:tr>
<w:trPr>
<w:trHeight w:hRule="exact" w:val="585.0599"  />
</w:trPr>
<w:tc>
<w:tcPr>
<w:tcW w:w="10221"  w:type="dxa" />
<w:gridSpan w:val="10" 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Частное учреждение образовательная организация высшего образования</w:t>
</w:r>
</w:p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«Омская гуманитарная академия»</w:t>
</w:r>
</w:p>
</w:tc>
</w:tr>
<w:tr>
<w:trPr>
<w:trHeight w:hRule="exact" w:val="314.5799"  />
</w:trPr>
<w:tc>
<w:tcPr>
<w:tcW w:w="10221"  w:type="dxa" />
<w:gridSpan w:val="10" 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Кафедра "Педагогики, психологии и социальной работы"</w:t>
</w:r>
</w:p>
</w:tc>
</w:tr>
<w:tr>
<w:trPr>
<w:trHeight w:hRule="exact" w:val="211.6801"  />
</w:trPr>
<w:tc>
<w:tcPr>
<w:tcW w:w="143"  w:type="dxa" />
</w:tcPr>
<w:p />
</w:tc>
<w:tc>
<w:tcPr>
<w:tcW w:w="285"  w:type="dxa" />
</w:tcPr>
<w:p />
</w:tc>
<w:tc>
<w:tcPr>
<w:tcW w:w="710"  w:type="dxa" />
</w:tcPr>
<w:p />
</w:tc>
<w:tc>
<w:tcPr>
<w:tcW w:w="1419"  w:type="dxa" />
</w:tcPr>
<w:p />
</w:tc>
<w:tc>
<w:tcPr>
<w:tcW w:w="1419"  w:type="dxa" />
</w:tcPr>
<w:p />
</w:tc>
<w:tc>
<w:tcPr>
<w:tcW w:w="710"  w:type="dxa" />
</w:tcPr>
<w:p />
</w:tc>
<w:tc>
<w:tcPr>
<w:tcW w:w="426"  w:type="dxa" />
</w:tcPr>
<w:p />
</w:tc>
<w:tc>
<w:tcPr>
<w:tcW w:w="1277"  w:type="dxa" />
</w:tcPr>
<w:p />
</w:tc>
<w:tc>
<w:tcPr>
<w:tcW w:w="993"  w:type="dxa" />
</w:tcPr>
<w:p />
</w:tc>
<w:tc>
<w:tcPr>
<w:tcW w:w="2836"  w:type="dxa" />
</w:tcPr>
<w:p />
</w:tc>
</w:tr>
<w:tr>
<w:trPr>
<w:trHeight w:hRule="exact" w:val="277.8301"  />
</w:trPr>
<w:tc>
<w:tcPr>
<w:tcW w:w="143"  w:type="dxa" />
</w:tcPr>
<w:p />
</w:tc>
<w:tc>
<w:tcPr>
<w:tcW w:w="285"  w:type="dxa" />
</w:tcPr>
<w:p />
</w:tc>
<w:tc>
<w:tcPr>
<w:tcW w:w="710"  w:type="dxa" />
</w:tcPr>
<w:p />
</w:tc>
<w:tc>
<w:tcPr>
<w:tcW w:w="1419"  w:type="dxa" />
</w:tcPr>
<w:p />
</w:tc>
<w:tc>
<w:tcPr>
<w:tcW w:w="1419"  w:type="dxa" />
</w:tcPr>
<w:p />
</w:tc>
<w:tc>
<w:tcPr>
<w:tcW w:w="710"  w:type="dxa" />
</w:tcPr>
<w:p />
</w:tc>
<w:tc>
<w:tcPr>
<w:tcW w:w="426"  w:type="dxa" />
</w:tcPr>
<w:p />
</w:tc>
<w:tc>
<w:tcPr>
<w:tcW w:w="1277"  w:type="dxa" />
</w:tcPr>
<w:p />
</w:tc>
<w:tc>
<w:tcPr>
<w:tcW w:w="3842.25"  w:type="dxa" />
<w:gridSpan w:val="2" 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УТВЕРЖДАЮ</w:t>
</w:r>
</w:p>
</w:tc>
</w:tr>
<w:tr>
<w:trPr>
<w:trHeight w:hRule="exact" w:val="972.4047"  />
</w:trPr>
<w:tc>
<w:tcPr>
<w:tcW w:w="143"  w:type="dxa" />
</w:tcPr>
<w:p />
</w:tc>
<w:tc>
<w:tcPr>
<w:tcW w:w="285"  w:type="dxa" />
</w:tcPr>
<w:p />
</w:tc>
<w:tc>
<w:tcPr>
<w:tcW w:w="710"  w:type="dxa" />
</w:tcPr>
<w:p />
</w:tc>
<w:tc>
<w:tcPr>
<w:tcW w:w="1419"  w:type="dxa" />
</w:tcPr>
<w:p />
</w:tc>
<w:tc>
<w:tcPr>
<w:tcW w:w="1419"  w:type="dxa" />
</w:tcPr>
<w:p />
</w:tc>
<w:tc>
<w:tcPr>
<w:tcW w:w="710"  w:type="dxa" />
</w:tcPr>
<w:p />
</w:tc>
<w:tc>
<w:tcPr>
<w:tcW w:w="426"  w:type="dxa" />
</w:tcPr>
<w:p />
</w:tc>
<w:tc>
<w:tcPr>
<w:tcW w:w="1277"  w:type="dxa" />
</w:tcPr>
<w:p />
</w:tc>
<w:tc>
<w:tcPr>
<w:tcW w:w="3842.25"  w:type="dxa" />
<w:gridSpan w:val="2" 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Ректор, д.фил.н., профессор</w:t>
</w:r>
</w:p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</w:t>
</w:r>
</w:p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______________А.Э. Еремеев</w:t>
</w:r>
</w:p>
</w:tc>
</w:tr>
<w:tr>
<w:trPr>
<w:trHeight w:hRule="exact" w:val="277.8299"  />
</w:trPr>
<w:tc>
<w:tcPr>
<w:tcW w:w="143"  w:type="dxa" />
</w:tcPr>
<w:p />
</w:tc>
<w:tc>
<w:tcPr>
<w:tcW w:w="285"  w:type="dxa" />
</w:tcPr>
<w:p />
</w:tc>
<w:tc>
<w:tcPr>
<w:tcW w:w="710"  w:type="dxa" />
</w:tcPr>
<w:p />
</w:tc>
<w:tc>
<w:tcPr>
<w:tcW w:w="1419"  w:type="dxa" />
</w:tcPr>
<w:p />
</w:tc>
<w:tc>
<w:tcPr>
<w:tcW w:w="1419"  w:type="dxa" />
</w:tcPr>
<w:p />
</w:tc>
<w:tc>
<w:tcPr>
<w:tcW w:w="710"  w:type="dxa" />
</w:tcPr>
<w:p />
</w:tc>
<w:tc>
<w:tcPr>
<w:tcW w:w="426"  w:type="dxa" />
</w:tcPr>
<w:p />
</w:tc>
<w:tc>
<w:tcPr>
<w:tcW w:w="1277"  w:type="dxa" />
</w:tcPr>
<w:p />
</w:tc>
<w:tc>
<w:tcPr>
<w:tcW w:w="3842.25"  w:type="dxa" />
<w:gridSpan w:val="2"  />
<w:tcBorders>
</w:tcBorders>
<w:shd w:val="clear" w:color="#000000" w:fill="#FFFFFF" />
<w:vAlign w:val="top"  />
<w:tcMar><w:left w:w="34"  w:type="dxa"/><w:right w:w="34"  w:type="dxa"/></w:tcMar>
</w:tcPr>
<w:p><w:pPr><w:jc w:val="righ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27.03.2023 г.</w:t>
</w:r>
</w:p>
</w:tc>
</w:tr>
<w:tr>
<w:trPr>
<w:trHeight w:hRule="exact" w:val="277.8304"  />
</w:trPr>
<w:tc>
<w:tcPr>
<w:tcW w:w="143"  w:type="dxa" />
</w:tcPr>
<w:p />
</w:tc>
<w:tc>
<w:tcPr>
<w:tcW w:w="285"  w:type="dxa" />
</w:tcPr>
<w:p />
</w:tc>
<w:tc>
<w:tcPr>
<w:tcW w:w="710"  w:type="dxa" />
</w:tcPr>
<w:p />
</w:tc>
<w:tc>
<w:tcPr>
<w:tcW w:w="1419"  w:type="dxa" />
</w:tcPr>
<w:p />
</w:tc>
<w:tc>
<w:tcPr>
<w:tcW w:w="1419"  w:type="dxa" />
</w:tcPr>
<w:p />
</w:tc>
<w:tc>
<w:tcPr>
<w:tcW w:w="710"  w:type="dxa" />
</w:tcPr>
<w:p />
</w:tc>
<w:tc>
<w:tcPr>
<w:tcW w:w="426"  w:type="dxa" />
</w:tcPr>
<w:p />
</w:tc>
<w:tc>
<w:tcPr>
<w:tcW w:w="1277"  w:type="dxa" />
</w:tcPr>
<w:p />
</w:tc>
<w:tc>
<w:tcPr>
<w:tcW w:w="993"  w:type="dxa" />
</w:tcPr>
<w:p />
</w:tc>
<w:tc>
<w:tcPr>
<w:tcW w:w="2836"  w:type="dxa" />
</w:tcPr>
<w:p />
</w:tc>
</w:tr>
<w:tr>
<w:trPr>
<w:trHeight w:hRule="exact" w:val="416.7451"  />
</w:trPr>
<w:tc>
<w:tcPr>
<w:tcW w:w="10221"  w:type="dxa" />
<w:gridSpan w:val="10" 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РАБОЧАЯ ПРОГРАММА ДИСЦИПЛИНЫ</w:t>
</w:r>
</w:p>
</w:tc>
</w:tr>
<w:tr>
<w:trPr>
<w:trHeight w:hRule="exact" w:val="1856.904"  />
</w:trPr>
<w:tc>
<w:tcPr>
<w:tcW w:w="143"  w:type="dxa" />
</w:tcPr>
<w:p />
</w:tc>
<w:tc>
<w:tcPr>
<w:tcW w:w="285"  w:type="dxa" />
</w:tcPr>
<w:p />
</w:tc>
<w:tc>
<w:tcPr>
<w:tcW w:w="710"  w:type="dxa" />
</w:tcPr>
<w:p />
</w:tc>
<w:tc>
<w:tcPr>
<w:tcW w:w="1419"  w:type="dxa" />
</w:tcPr>
<w:p />
</w:tc>
<w:tc>
<w:tcPr>
<w:tcW w:w="4834.5"  w:type="dxa" />
<w:gridSpan w:val="5" 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32"  /><w:szCs w:val="32"  /></w:rPr>
</w:pPr>
<w:r>
<w:rPr>
<w:rFonts w:ascii="Times New Roman"  w:hAnsi="Times New Roman"  w:cs="Times New Roman"  /> 
<w:color w:val="#000000" />
<w:sz w:val="32"  />
<w:szCs w:val="32"  />
</w:rPr>
<w:t> Методология и методы педагогического исследования в сфере физической культуры и спорта</w:t>
</w:r>
</w:p>
<w:p><w:pPr><w:jc w:val="center"  />
<w:spacing w:after="0" w:line="240"  w:lineRule="auto" />
<w:rPr><w:sz w:val="32"  /><w:szCs w:val="32"  /></w:rPr>
</w:pPr>
<w:r>
<w:rPr>
<w:rFonts w:ascii="Times New Roman"  w:hAnsi="Times New Roman"  w:cs="Times New Roman"  /> 
<w:color w:val="#000000" />
<w:sz w:val="32"  />
<w:szCs w:val="32"  />
</w:rPr>
<w:t> Б1.В.02.03</w:t>
</w:r>
</w:p>
</w:tc>
<w:tc>
<w:tcPr>
<w:tcW w:w="2836"  w:type="dxa" />
</w:tcPr>
<w:p />
</w:tc>
</w:tr>
<w:tr>
<w:trPr>
<w:trHeight w:hRule="exact" w:val="277.8299"  />
</w:trPr>
<w:tc>
<w:tcPr>
<w:tcW w:w="10221"  w:type="dxa" />
<w:gridSpan w:val="10" 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по программе бакалавриата</w:t>
</w:r>
</w:p>
</w:tc>
</w:tr>
<w:tr>
<w:trPr>
<w:trHeight w:hRule="exact" w:val="1125.873"  />
</w:trPr>
<w:tc>
<w:tcPr>
<w:tcW w:w="143"  w:type="dxa" />
</w:tcPr>
<w:p />
</w:tc>
<w:tc>
<w:tcPr>
<w:tcW w:w="285"  w:type="dxa" />
</w:tcPr>
<w:p />
</w:tc>
<w:tc>
<w:tcPr>
<w:tcW w:w="9795.75"  w:type="dxa" />
<w:gridSpan w:val="8" 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Направление подготовки: 44.03.01 Педагогическое образование (высшее образование - бакалавриат)</w:t>
</w:r>
</w:p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Направленность (профиль) программы: «Физкультурное образование»</w:t>
</w:r>
</w:p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Области профессиональной деятельности и (или) сферы профессиональной деятельности.</w:t>
</w:r>
</w:p>
</w:tc>
</w:tr>
<w:tr>
<w:trPr>
<w:trHeight w:hRule="exact" w:val="833.4902"  />
</w:trPr>
<w:tc>
<w:tcPr>
<w:tcW w:w="10221"  w:type="dxa" />
<w:gridSpan w:val="10" 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Области профессиональной деятельности. 01.ОБРАЗОВАНИЕ И НАУКА.</w:t>
</w:r>
</w:p>
</w:tc>
</w:tr>
<w:tr>
<w:trPr>
<w:trHeight w:hRule="exact" w:val="277.8304"  />
</w:trPr>
<w:tc>
<w:tcPr>
<w:tcW w:w="3984"  w:type="dxa" />
<w:gridSpan w:val="5"  />
<w:tcBorders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i />
<w:color w:val="#000000" />
<w:sz w:val="24"  />
<w:szCs w:val="24"  />
</w:rPr>
<w:t> Профессиональные стандарты:</w:t>
</w:r>
</w:p>
</w:tc>
<w:tc>
<w:tcPr>
<w:tcW w:w="710"  w:type="dxa" />
</w:tcPr>
<w:p />
</w:tc>
<w:tc>
<w:tcPr>
<w:tcW w:w="426"  w:type="dxa" />
</w:tcPr>
<w:p />
</w:tc>
<w:tc>
<w:tcPr>
<w:tcW w:w="1277"  w:type="dxa" />
</w:tcPr>
<w:p />
</w:tc>
<w:tc>
<w:tcPr>
<w:tcW w:w="993"  w:type="dxa" />
</w:tcPr>
<w:p />
</w:tc>
<w:tc>
<w:tcPr>
<w:tcW w:w="2836"  w:type="dxa" />
</w:tcPr>
<w:p />
</w:tc>
</w:tr>
<w:tr>
<w:trPr>
<w:trHeight w:hRule="exact" w:val="155.8196"  />
</w:trPr>
<w:tc>
<w:tcPr>
<w:tcW w:w="143"  w:type="dxa" />
</w:tcPr>
<w:p />
</w:tc>
<w:tc>
<w:tcPr>
<w:tcW w:w="285"  w:type="dxa" />
</w:tcPr>
<w:p />
</w:tc>
<w:tc>
<w:tcPr>
<w:tcW w:w="710"  w:type="dxa" />
</w:tcPr>
<w:p />
</w:tc>
<w:tc>
<w:tcPr>
<w:tcW w:w="1419"  w:type="dxa" />
</w:tcPr>
<w:p />
</w:tc>
<w:tc>
<w:tcPr>
<w:tcW w:w="1419"  w:type="dxa" />
</w:tcPr>
<w:p />
</w:tc>
<w:tc>
<w:tcPr>
<w:tcW w:w="710"  w:type="dxa" />
</w:tcPr>
<w:p />
</w:tc>
<w:tc>
<w:tcPr>
<w:tcW w:w="426"  w:type="dxa" />
</w:tcPr>
<w:p />
</w:tc>
<w:tc>
<w:tcPr>
<w:tcW w:w="1277"  w:type="dxa" />
</w:tcPr>
<w:p />
</w:tc>
<w:tc>
<w:tcPr>
<w:tcW w:w="993"  w:type="dxa" />
</w:tcPr>
<w:p />
</w:tc>
<w:tc>
<w:tcPr>
<w:tcW w:w="2836"  w:type="dxa" />
</w:tcPr>
<w:p />
</w:tc>
</w:tr>
<w:tr>
<w:trPr>
<w:trHeight w:hRule="exact" w:val="304.5836"  />
</w:trPr>
<w:tc>
<w:tcPr>
<w:tcW w:w="1149"  w:type="dxa" />
<w:gridSpan w:val="3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01</w:t>
</w:r>
</w:p>
</w:tc>
<w:tc>
<w:tcPr>
<w:tcW w:w="9087"  w:type="dxa" />
<w:gridSpan w:val="7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ОБРАЗОВАНИЕ И НАУКА</w:t>
</w:r>
</w:p>
</w:tc>
</w:tr>
<w:tr>
<w:trPr>
<w:trHeight w:hRule="exact" w:val="304.5836"  />
</w:trPr>
<w:tc>
<w:tcPr>
<w:tcW w:w="1149"  w:type="dxa" />
<w:gridSpan w:val="3"  />
<w:tcBorders>
<w:top w:val="single" w:sz="8"  w:space="0" w:color="#000000" />
<w:left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01.001</w:t>
</w:r>
</w:p>
</w:tc>
<w:tc>
<w:tcPr>
<w:tcW w:w="9087"  w:type="dxa" />
<w:gridSpan w:val="7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vMerge w:val="restart" /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
</w:r>
</w:p>
</w:tc>
</w:tr>
<w:tr>
<w:trPr>
<w:trHeight w:hRule="exact" w:val="550.9566"  />
</w:trPr>
<w:tc>
<w:tcPr>
<w:tcW w:w="1149"  w:type="dxa" />
<w:gridSpan w:val="3"  />
<w:tcBorders>
<w:left w:val="single" w:sz="8"  w:space="0" w:color="#000000" />
<w:bottom w:val="single" w:sz="8"  w:space="0" w:color="#000000" />
</w:tcBorders>
<w:shd w:val="clear" w:color="#FFFFFF" w:fill="#FFFFFF" />
<w:vAlign w:val="top"  />
<w:tcMar><w:left w:w="4"  w:type="dxa"/><w:right w:w="4"  w:type="dxa"/></w:tcMar>
</w:tcPr>
<w:p />
</w:tc>
<w:tc>
<w:tcPr>
<w:tcW w:w="9087"  w:type="dxa" />
<w:gridSpan w:val="7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vMerge />
<w:shd w:val="clear" w:color="#000000" w:fill="#FFFFFF" />
<w:vAlign w:val="top"  />
<w:tcMar><w:left w:w="34"  w:type="dxa"/><w:right w:w="34"  w:type="dxa"/></w:tcMar>
</w:tcPr>
<w:p />
</w:tc>
</w:tr>
<w:tr>
<w:trPr>
<w:trHeight w:hRule="exact" w:val="124.2152"  />
</w:trPr>
<w:tc>
<w:tcPr>
<w:tcW w:w="143"  w:type="dxa" />
</w:tcPr>
<w:p />
</w:tc>
<w:tc>
<w:tcPr>
<w:tcW w:w="285"  w:type="dxa" />
</w:tcPr>
<w:p />
</w:tc>
<w:tc>
<w:tcPr>
<w:tcW w:w="710"  w:type="dxa" />
</w:tcPr>
<w:p />
</w:tc>
<w:tc>
<w:tcPr>
<w:tcW w:w="1419"  w:type="dxa" />
</w:tcPr>
<w:p />
</w:tc>
<w:tc>
<w:tcPr>
<w:tcW w:w="1419"  w:type="dxa" />
</w:tcPr>
<w:p />
</w:tc>
<w:tc>
<w:tcPr>
<w:tcW w:w="710"  w:type="dxa" />
</w:tcPr>
<w:p />
</w:tc>
<w:tc>
<w:tcPr>
<w:tcW w:w="426"  w:type="dxa" />
</w:tcPr>
<w:p />
</w:tc>
<w:tc>
<w:tcPr>
<w:tcW w:w="1277"  w:type="dxa" />
</w:tcPr>
<w:p />
</w:tc>
<w:tc>
<w:tcPr>
<w:tcW w:w="993"  w:type="dxa" />
</w:tcPr>
<w:p />
</w:tc>
<w:tc>
<w:tcPr>
<w:tcW w:w="2836"  w:type="dxa" />
</w:tcPr>
<w:p />
</w:tc>
</w:tr>
<w:tr>
<w:trPr>
<w:trHeight w:hRule="exact" w:val="277.8304"  />
</w:trPr>
<w:tc>
<w:tcPr>
<w:tcW w:w="5118"  w:type="dxa" />
<w:gridSpan w:val="7"  />
<w:tcBorders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i />
<w:color w:val="#000000" />
<w:sz w:val="24"  />
<w:szCs w:val="24"  />
</w:rPr>
<w:t> Типы задач профессиональной деятельности:</w:t>
</w:r>
</w:p>
</w:tc>
<w:tc>
<w:tcPr>
<w:tcW w:w="5118"  w:type="dxa" />
<w:gridSpan w:val="3"  />
<w:tcBorders>
</w:tcBorders>
<w:vMerge w:val="restart" /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педагогический, проектный, культурно- просветительский</w:t>
</w:r>
</w:p>
</w:tc>
</w:tr>
<w:tr>
<w:trPr>
<w:trHeight w:hRule="exact" w:val="307.2295"  />
</w:trPr>
<w:tc>
<w:tcPr>
<w:tcW w:w="143"  w:type="dxa" />
</w:tcPr>
<w:p />
</w:tc>
<w:tc>
<w:tcPr>
<w:tcW w:w="285"  w:type="dxa" />
</w:tcPr>
<w:p />
</w:tc>
<w:tc>
<w:tcPr>
<w:tcW w:w="710"  w:type="dxa" />
</w:tcPr>
<w:p />
</w:tc>
<w:tc>
<w:tcPr>
<w:tcW w:w="1419"  w:type="dxa" />
</w:tcPr>
<w:p />
</w:tc>
<w:tc>
<w:tcPr>
<w:tcW w:w="1419"  w:type="dxa" />
</w:tcPr>
<w:p />
</w:tc>
<w:tc>
<w:tcPr>
<w:tcW w:w="710"  w:type="dxa" />
</w:tcPr>
<w:p />
</w:tc>
<w:tc>
<w:tcPr>
<w:tcW w:w="426"  w:type="dxa" />
</w:tcPr>
<w:p />
</w:tc>
<w:tc>
<w:tcPr>
<w:tcW w:w="5118"  w:type="dxa" />
<w:gridSpan w:val="3"  />
<w:tcBorders>
</w:tcBorders>
<w:vMerge />
<w:shd w:val="clear" w:color="#000000" w:fill="#FFFFFF" />
<w:vAlign w:val="top"  />
<w:tcMar><w:left w:w="34"  w:type="dxa"/><w:right w:w="34"  w:type="dxa"/></w:tcMar>
</w:tcPr>
<w:p />
</w:tc>
</w:tr>
<w:tr>
<w:trPr>
<w:trHeight w:hRule="exact" w:val="1909.971"  />
</w:trPr>
<w:tc>
<w:tcPr>
<w:tcW w:w="143"  w:type="dxa" />
</w:tcPr>
<w:p />
</w:tc>
<w:tc>
<w:tcPr>
<w:tcW w:w="285"  w:type="dxa" />
</w:tcPr>
<w:p />
</w:tc>
<w:tc>
<w:tcPr>
<w:tcW w:w="710"  w:type="dxa" />
</w:tcPr>
<w:p />
</w:tc>
<w:tc>
<w:tcPr>
<w:tcW w:w="1419"  w:type="dxa" />
</w:tcPr>
<w:p />
</w:tc>
<w:tc>
<w:tcPr>
<w:tcW w:w="1419"  w:type="dxa" />
</w:tcPr>
<w:p />
</w:tc>
<w:tc>
<w:tcPr>
<w:tcW w:w="710"  w:type="dxa" />
</w:tcPr>
<w:p />
</w:tc>
<w:tc>
<w:tcPr>
<w:tcW w:w="426"  w:type="dxa" />
</w:tcPr>
<w:p />
</w:tc>
<w:tc>
<w:tcPr>
<w:tcW w:w="1277"  w:type="dxa" />
</w:tcPr>
<w:p />
</w:tc>
<w:tc>
<w:tcPr>
<w:tcW w:w="993"  w:type="dxa" />
</w:tcPr>
<w:p />
</w:tc>
<w:tc>
<w:tcPr>
<w:tcW w:w="2836"  w:type="dxa" />
</w:tcPr>
<w:p />
</w:tc>
</w:tr>
<w:tr>
<w:trPr>
<w:trHeight w:hRule="exact" w:val="277.8304"  />
</w:trPr>
<w:tc>
<w:tcPr>
<w:tcW w:w="143"  w:type="dxa" />
</w:tcPr>
<w:p />
</w:tc>
<w:tc>
<w:tcPr>
<w:tcW w:w="10079.25"  w:type="dxa" />
<w:gridSpan w:val="9"  />
<w:tcBorders>
</w:tcBorders>
<w:vMerge w:val="restart" /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Для обучающихся:</w:t>
</w:r>
</w:p>
</w:tc>
</w:tr>
<w:tr>
<w:trPr>
<w:trHeight w:hRule="exact" w:val="138.9143"  />
</w:trPr>
<w:tc>
<w:tcPr>
<w:tcW w:w="143"  w:type="dxa" />
</w:tcPr>
<w:p />
</w:tc>
<w:tc>
<w:tcPr>
<w:tcW w:w="10079.25"  w:type="dxa" />
<w:gridSpan w:val="9"  />
<w:tcBorders>
</w:tcBorders>
<w:vMerge />
<w:shd w:val="clear" w:color="#000000" w:fill="#FFFFFF" />
<w:vAlign w:val="top"  />
<w:tcMar><w:left w:w="34"  w:type="dxa"/><w:right w:w="34"  w:type="dxa"/></w:tcMar>
</w:tcPr>
<w:p />
</w:tc>
</w:tr>
<w:tr>
<w:trPr>
<w:trHeight w:hRule="exact" w:val="1666.981"  />
</w:trPr>
<w:tc>
<w:tcPr>
<w:tcW w:w="143"  w:type="dxa" />
</w:tcPr>
<w:p />
</w:tc>
<w:tc>
<w:tcPr>
<w:tcW w:w="10079.25"  w:type="dxa" />
<w:gridSpan w:val="9" 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заочной формы обучения 2023 года набора</w:t>
</w:r>
</w:p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</w:t>
</w:r>
</w:p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на 2023-2024 учебный год</w:t>
</w:r>
</w:p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</w:t>
</w:r>
</w:p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Омск, 2023</w:t>
</w:r>
</w:p>
</w:tc>
</w:tr>
</w:tbl>
<w:p><w:pPr><w:rPr> <w:sz w:val="0" /><w:szCs w:val="0"/></w:rPr></w:pPr><w:r><w:br w:type="page" /></w:r></w:p>
<w:tbl>
<w:tblPr>
<w:tblW w:w="0" w:type="auto" />
<w:tblCellMar><w:left w:w="0" w:type="dxa"/><w:right w:w="0" w:type="dxa"/></w:tblCellMar>
<w:tblBorders>
<w:top w:val="none" w:sz="0" w:space="0" w:color="auto" />
<w:left w:val="none" w:sz="0" w:space="0" w:color="auto" />
<w:bottom w:val="none" w:sz="0" w:space="0" w:color="auto" />
<w:right w:val="none" w:sz="0" w:space="0" w:color="auto" />
<w:insideH w:val="none" w:sz="0" w:space="0" w:color="auto" />
<w:insideV w:val="none" w:sz="0" w:space="0" w:color="auto" />
</w:tblBorders>
</w:tblPr>
<w:tblGrid>
<w:gridCol w:w="10773"  />
</w:tblGrid>
<w:tr>
<w:trPr>
<w:trHeight w:hRule="exact" w:val="2222.64"  />
</w:trPr>
<w:tc>
<w:tcPr>
<w:tcW w:w="10788"  w:type="dxa" />
<w:tcBorders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Составитель: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к.пед.н., доцент _________________ /левичев о.ф./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Рабочая программа дисциплины одобрена на заседании кафедры «Педагогики, психологии и социальной работы»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Протокол от 24.03.2023 г.  №8</w:t>
</w:r>
</w:p>
</w:tc>
</w:tr>
<w:tr>
<w:trPr>
<w:trHeight w:hRule="exact" w:val="277.8299"  />
</w:trPr>
<w:tc>
<w:tcPr>
<w:tcW w:w="10788"  w:type="dxa" />
<w:tcBorders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Зав. кафедрой, доцент, д.п.н. _________________ /Лопанова Е.В./</w:t>
</w:r>
</w:p>
</w:tc>
</w:tr>
</w:tbl>
<w:p><w:pPr><w:rPr> <w:sz w:val="0" /><w:szCs w:val="0"/></w:rPr></w:pPr><w:r><w:br w:type="page" /></w:r></w:p>
<w:tbl>
<w:tblPr>
<w:tblW w:w="0" w:type="auto" />
<w:tblCellMar><w:left w:w="0" w:type="dxa"/><w:right w:w="0" w:type="dxa"/></w:tblCellMar>
<w:tblBorders>
<w:top w:val="none" w:sz="0" w:space="0" w:color="auto" />
<w:left w:val="none" w:sz="0" w:space="0" w:color="auto" />
<w:bottom w:val="none" w:sz="0" w:space="0" w:color="auto" />
<w:right w:val="none" w:sz="0" w:space="0" w:color="auto" />
<w:insideH w:val="none" w:sz="0" w:space="0" w:color="auto" />
<w:insideV w:val="none" w:sz="0" w:space="0" w:color="auto" />
</w:tblBorders>
</w:tblPr>
<w:tblGrid>
<w:gridCol w:w="9639"  />
</w:tblGrid>
<w:tr>
<w:trPr>
<w:trHeight w:hRule="exact" w:val="277.83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СОДЕРЖАНИЕ</w:t>
</w:r>
</w:p>
</w:tc>
</w:tr>
<w:tr>
<w:trPr>
<w:trHeight w:hRule="exact" w:val="555.66"  />
</w:trPr>
<w:tc>
<w:tcPr>
<w:tcW w:w="9640"  w:type="dxa" />
</w:tcPr>
<w:p />
</w:tc>
</w:tr>
<w:tr>
<w:trPr>
<w:trHeight w:hRule="exact" w:val="8751.645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1     Наименование дисциплины		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3     Указание места дисциплины в структуре образовательной программы		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6     Перечень учебно-методического обеспечения для самостоятельной работы обучающихся по дисциплине		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7     Перечень основной и дополнительной учебной литературы, необходимой для освоения дисциплины		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8     Перечень ресурсов информационно-телекоммуникационной сети «Интернет», необходимых для освоения дисциплины		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9     Методические указания для обучающихся по освоению дисциплины		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11   Описание материально-технической базы, необходимой для осуществления образовательного процесса по дисциплине		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12   Фонд оценочных средств (Приложения 1-5)		</w:t>
</w:r>
</w:p>
</w:tc>
</w:tr>
</w:tbl>
<w:p><w:pPr><w:rPr> <w:sz w:val="0" /><w:szCs w:val="0"/></w:rPr></w:pPr><w:r><w:br w:type="page" /></w:r></w:p>
<w:tbl>
<w:tblPr>
<w:tblW w:w="0" w:type="auto" />
<w:tblCellMar><w:left w:w="0" w:type="dxa"/><w:right w:w="0" w:type="dxa"/></w:tblCellMar>
<w:tblBorders>
<w:top w:val="none" w:sz="0" w:space="0" w:color="auto" />
<w:left w:val="none" w:sz="0" w:space="0" w:color="auto" />
<w:bottom w:val="none" w:sz="0" w:space="0" w:color="auto" />
<w:right w:val="none" w:sz="0" w:space="0" w:color="auto" />
<w:insideH w:val="none" w:sz="0" w:space="0" w:color="auto" />
<w:insideV w:val="none" w:sz="0" w:space="0" w:color="auto" />
</w:tblBorders>
</w:tblPr>
<w:tblGrid>
<w:gridCol w:w="9639"  />
</w:tblGrid>
<w:tr>
<w:trPr>
<w:trHeight w:hRule="exact" w:val="277.83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i />
<w:color w:val="#000000" />
<w:sz w:val="24"  />
<w:szCs w:val="24"  />
</w:rPr>
<w:t> Рабочая программа дисциплины составлена в соответствии с:</w:t>
</w:r>
</w:p>
</w:tc>
</w:tr>
<w:tr>
<w:trPr>
<w:trHeight w:hRule="exact" w:val="15113.95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- Федеральным законом Российской Федерации от 29.12.2012 № 273-ФЗ «Об образовании в Российской Федерации»;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- Приказом Минобрнауки России от 19.07.2022 № 662 «О несении изменений в федеральные государственные образовательные стандарты высшего образования»;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«Физкультурное образование»; форма обучения – заочная на 2023/2024 учебный год, утвержденным приказом ректора от 27.03.2023 № 51;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Возможность внесения изменений и дополнений в разработанную Академией образовательную программу в части рабочей программы дисциплины «Методология и методы педагогического исследования в сфере физической культуры и спорта» в течение 2023/2024 учебного года: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
</w:r>
</w:p>
</w:tc>
</w:tr>
</w:tbl>
<w:p><w:pPr><w:rPr> <w:sz w:val="0" /><w:szCs w:val="0"/></w:rPr></w:pPr><w:r><w:br w:type="page" /></w:r></w:p>
<w:tbl>
<w:tblPr>
<w:tblW w:w="0" w:type="auto" />
<w:tblCellMar><w:left w:w="0" w:type="dxa"/><w:right w:w="0" w:type="dxa"/></w:tblCellMar>
<w:tblBorders>
<w:top w:val="none" w:sz="0" w:space="0" w:color="auto" />
<w:left w:val="none" w:sz="0" w:space="0" w:color="auto" />
<w:bottom w:val="none" w:sz="0" w:space="0" w:color="auto" />
<w:right w:val="none" w:sz="0" w:space="0" w:color="auto" />
<w:insideH w:val="none" w:sz="0" w:space="0" w:color="auto" />
<w:insideV w:val="none" w:sz="0" w:space="0" w:color="auto" />
</w:tblBorders>
</w:tblPr>
<w:tblGrid>
<w:gridCol w:w="9639"  />
</w:tblGrid>
<w:tr>
<w:trPr>
<w:trHeight w:hRule="exact" w:val="1096.473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
</w:r>
</w:p>
</w:tc>
</w:tr>
<w:tr>
<w:trPr>
<w:trHeight w:hRule="exact" w:val="138.9151"  />
</w:trPr>
<w:tc>
<w:tcPr>
<w:tcW w:w="9640"  w:type="dxa" />
</w:tcPr>
<w:p />
</w:tc>
</w:tr>
<w:tr>
<w:trPr>
<w:trHeight w:hRule="exact" w:val="1396.353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	1. Наименование дисциплины: Б1.В.02.03 «Методология и методы педагогического исследования в сфере физической культуры и спорта».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
</w:r>
</w:p>
</w:tc>
</w:tr>
<w:tr>
<w:trPr>
<w:trHeight w:hRule="exact" w:val="139.0621"  />
</w:trPr>
<w:tc>
<w:tcPr>
<w:tcW w:w="9640"  w:type="dxa" />
</w:tcPr>
<w:p />
</w:tc>
</w:tr>
<w:tr>
<w:trPr>
<w:trHeight w:hRule="exact" w:val="3530.646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	Процесс изучения дисциплины «Методология и методы педагогического исследования в сфере физической культуры и спорта»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
</w:r>
</w:p>
</w:tc>
</w:tr>
<w:tr>
<w:trPr>
<w:trHeight w:hRule="exact" w:val="855.5406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Код компетенции: ПК-1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Способен применять предметные знания при реализации образовательного процесса</w:t>
</w:r>
</w:p>
</w:tc>
</w:tr>
<w:tr>
<w:trPr>
<w:trHeight w:hRule="exact" w:val="585.0602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Индикаторы достижения компетенции:</w:t>
</w:r>
</w:p>
</w:tc>
</w:tr>
<w:tr>
<w:trPr>
<w:trHeight w:hRule="exact" w:val="855.5392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ПК-1.1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
</w:r>
</w:p>
</w:tc>
</w:tr>
<w:tr>
<w:trPr>
<w:trHeight w:hRule="exact" w:val="1125.872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ПК-1.2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
</w:r>
</w:p>
</w:tc>
</w:tr>
<w:tr>
<w:trPr>
<w:trHeight w:hRule="exact" w:val="585.0607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ПК-1.3 владеть навыком формирования познавательной мотивации обучающихся к предмету в рамках урочной и внеурочной деятельности</w:t>
</w:r>
</w:p>
</w:tc>
</w:tr>
<w:tr>
<w:trPr>
<w:trHeight w:hRule="exact" w:val="277.8295"  />
</w:trPr>
<w:tc>
<w:tcPr>
<w:tcW w:w="9640"  w:type="dxa" />
</w:tcPr>
<w:p />
</w:tc>
</w:tr>
<w:tr>
<w:trPr>
<w:trHeight w:hRule="exact" w:val="855.5402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Код компетенции: ПК-2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Способен участвовать в проектировании предметной среды образовательной программы</w:t>
</w:r>
</w:p>
</w:tc>
</w:tr>
<w:tr>
<w:trPr>
<w:trHeight w:hRule="exact" w:val="585.0598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Индикаторы достижения компетенции:</w:t>
</w:r>
</w:p>
</w:tc>
</w:tr>
<w:tr>
<w:trPr>
<w:trHeight w:hRule="exact" w:val="314.5804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ПК-2.1 знать  здоровьесберегающие технологии в учебном процессе</w:t>
</w:r>
</w:p>
</w:tc>
</w:tr>
<w:tr>
<w:trPr>
<w:trHeight w:hRule="exact" w:val="314.5804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ПК-2.2 уметь применять меры профилактики детского травматизма</w:t>
</w:r>
</w:p>
</w:tc>
</w:tr>
<w:tr>
<w:trPr>
<w:trHeight w:hRule="exact" w:val="314.5804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ПК-2.3 владеть навыком оказания первой доврачебной помощи обучающимся</w:t>
</w:r>
</w:p>
</w:tc>
</w:tr>
<w:tr>
<w:trPr>
<w:trHeight w:hRule="exact" w:val="277.8295"  />
</w:trPr>
<w:tc>
<w:tcPr>
<w:tcW w:w="9640"  w:type="dxa" />
</w:tcPr>
<w:p />
</w:tc>
</w:tr>
<w:tr>
<w:trPr>
<w:trHeight w:hRule="exact" w:val="855.5402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Код компетенции: ПК-4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Способен проектировать траектории своего профессионального роста и личностного развития</w:t>
</w:r>
</w:p>
</w:tc>
</w:tr>
<w:tr>
<w:trPr>
<w:trHeight w:hRule="exact" w:val="585.0598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Индикаторы достижения компетенции:</w:t>
</w:r>
</w:p>
</w:tc>
</w:tr>
<w:tr>
<w:trPr>
<w:trHeight w:hRule="exact" w:val="314.5804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ПК-4.1 знать  цели своего профессионального и личностного развития</w:t>
</w:r>
</w:p>
</w:tc>
</w:tr>
<w:tr>
<w:trPr>
<w:trHeight w:hRule="exact" w:val="388.0786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ПК-4.2 уметь осуществлять отбор средств реализации программ профессионального и</w:t>
</w:r>
</w:p>
</w:tc>
</w:tr>
</w:tbl>
<w:p><w:pPr><w:rPr> <w:sz w:val="0" /><w:szCs w:val="0"/></w:rPr></w:pPr><w:r><w:br w:type="page" /></w:r></w:p>
<w:tbl>
<w:tblPr>
<w:tblW w:w="0" w:type="auto" />
<w:tblCellMar><w:left w:w="0" w:type="dxa"/><w:right w:w="0" w:type="dxa"/></w:tblCellMar>
<w:tblBorders>
<w:top w:val="none" w:sz="0" w:space="0" w:color="auto" />
<w:left w:val="none" w:sz="0" w:space="0" w:color="auto" />
<w:bottom w:val="none" w:sz="0" w:space="0" w:color="auto" />
<w:right w:val="none" w:sz="0" w:space="0" w:color="auto" />
<w:insideH w:val="none" w:sz="0" w:space="0" w:color="auto" />
<w:insideV w:val="none" w:sz="0" w:space="0" w:color="auto" />
</w:tblBorders>
</w:tblPr>
<w:tblGrid>
<w:gridCol w:w="9639"  />
</w:tblGrid>
<w:tr>
<w:trPr>
<w:trHeight w:hRule="exact" w:val="314.58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личностного роста</w:t>
</w:r>
</w:p>
</w:tc>
</w:tr>
<w:tr>
<w:trPr>
<w:trHeight w:hRule="exact" w:val="314.58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ПК-4.3 владеть навыком разработки программы профессионального и личностного роста</w:t>
</w:r>
</w:p>
</w:tc>
</w:tr>
<w:tr>
<w:trPr>
<w:trHeight w:hRule="exact" w:val="277.83"  />
</w:trPr>
<w:tc>
<w:tcPr>
<w:tcW w:w="9640"  w:type="dxa" />
</w:tcPr>
<w:p />
</w:tc>
</w:tr>
<w:tr>
<w:trPr>
<w:trHeight w:hRule="exact" w:val="855.54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Код компетенции: УК-1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Способен осуществлять поиск, критический анализ и синтез информации, применять системный подход для решения поставленных задач</w:t>
</w:r>
</w:p>
</w:tc>
</w:tr>
<w:tr>
<w:trPr>
<w:trHeight w:hRule="exact" w:val="585.0599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Индикаторы достижения компетенции:</w:t>
</w:r>
</w:p>
</w:tc>
</w:tr>
<w:tr>
<w:trPr>
<w:trHeight w:hRule="exact" w:val="314.5799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УК-1.1 знать  основы критического и особенности системного мышления</w:t>
</w:r>
</w:p>
</w:tc>
</w:tr>
<w:tr>
<w:trPr>
<w:trHeight w:hRule="exact" w:val="585.0602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УК-1.2 уметь применять логические формы и процедуры, способен к рефлексии по поводу собственной и чужой мыслительной деятельности</w:t>
</w:r>
</w:p>
</w:tc>
</w:tr>
<w:tr>
<w:trPr>
<w:trHeight w:hRule="exact" w:val="585.0596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УК-1.3 уметь анализировать источник информации с точки зрения временных и пространственных условий его возникновения</w:t>
</w:r>
</w:p>
</w:tc>
</w:tr>
<w:tr>
<w:trPr>
<w:trHeight w:hRule="exact" w:val="855.5406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
</w:r>
</w:p>
</w:tc>
</w:tr>
<w:tr>
<w:trPr>
<w:trHeight w:hRule="exact" w:val="585.0594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УК-1.5 владеть  навыком аргументированного формирования собственного суждения и оценки информации, принятия обоснованного решения</w:t>
</w:r>
</w:p>
</w:tc>
</w:tr>
<w:tr>
<w:trPr>
<w:trHeight w:hRule="exact" w:val="585.0602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УК-1.6 владеть навыком определения практических последствий предложенного решения задач</w:t>
</w:r>
</w:p>
</w:tc>
</w:tr>
<w:tr>
<w:trPr>
<w:trHeight w:hRule="exact" w:val="277.8299"  />
</w:trPr>
<w:tc>
<w:tcPr>
<w:tcW w:w="9640"  w:type="dxa" />
</w:tcPr>
<w:p />
</w:tc>
</w:tr>
<w:tr>
<w:trPr>
<w:trHeight w:hRule="exact" w:val="1125.873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Код компетенции: УК-2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
</w:r>
</w:p>
</w:tc>
</w:tr>
<w:tr>
<w:trPr>
<w:trHeight w:hRule="exact" w:val="585.0598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Индикаторы достижения компетенции:</w:t>
</w:r>
</w:p>
</w:tc>
</w:tr>
<w:tr>
<w:trPr>
<w:trHeight w:hRule="exact" w:val="585.0598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УК-2.1 знать совокупность взаимосвязанных задач, обеспечивающих достижение поставленной цели, исходя из действующих правовых норм</w:t>
</w:r>
</w:p>
</w:tc>
</w:tr>
<w:tr>
<w:trPr>
<w:trHeight w:hRule="exact" w:val="314.5812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УК-2.2 уметь определять ресурсное обеспечение для достижения поставленной цели</w:t>
</w:r>
</w:p>
</w:tc>
</w:tr>
<w:tr>
<w:trPr>
<w:trHeight w:hRule="exact" w:val="585.0589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УК-2.3 владеть навыками оценивания вероятных рисков и ограничений в решении поставленных задач</w:t>
</w:r>
</w:p>
</w:tc>
</w:tr>
<w:tr>
<w:trPr>
<w:trHeight w:hRule="exact" w:val="585.0598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УК-2.4 владеть навыками определения ожидаемых результатов решения поставленных задач</w:t>
</w:r>
</w:p>
</w:tc>
</w:tr>
<w:tr>
<w:trPr>
<w:trHeight w:hRule="exact" w:val="277.8304"  />
</w:trPr>
<w:tc>
<w:tcPr>
<w:tcW w:w="9640"  w:type="dxa" />
</w:tcPr>
<w:p />
</w:tc>
</w:tr>
<w:tr>
<w:trPr>
<w:trHeight w:hRule="exact" w:val="855.5402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Код компетенции: УК-3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Способен осуществлять социальное взаимодействие и реализовывать свою роль в команде</w:t>
</w:r>
</w:p>
</w:tc>
</w:tr>
<w:tr>
<w:trPr>
<w:trHeight w:hRule="exact" w:val="585.0598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Индикаторы достижения компетенции:</w:t>
</w:r>
</w:p>
</w:tc>
</w:tr>
<w:tr>
<w:trPr>
<w:trHeight w:hRule="exact" w:val="314.5804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УК-3.1 знать основы эффективного речевого и социального взаимодействия</w:t>
</w:r>
</w:p>
</w:tc>
</w:tr>
<w:tr>
<w:trPr>
<w:trHeight w:hRule="exact" w:val="314.5804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УК-3.2 уметь  работать в команде, проявлять лидерские качества и умения</w:t>
</w:r>
</w:p>
</w:tc>
</w:tr>
<w:tr>
<w:trPr>
<w:trHeight w:hRule="exact" w:val="585.0589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УК-3.3 владеть навыками работы с институтами и организациями в процессе осуществления социального взаимодействия</w:t>
</w:r>
</w:p>
</w:tc>
</w:tr>
<w:tr>
<w:trPr>
<w:trHeight w:hRule="exact" w:val="416.7455"  />
</w:trPr>
<w:tc>
<w:tcPr>
<w:tcW w:w="9640"  w:type="dxa" />
</w:tcPr>
<w:p />
</w:tc>
</w:tr>
<w:tr>
<w:trPr>
<w:trHeight w:hRule="exact" w:val="304.5836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              3. Указание места дисциплины в структуре образовательной программы</w:t>
</w:r>
</w:p>
</w:tc>
</w:tr>
<w:tr>
<w:trPr>
<w:trHeight w:hRule="exact" w:val="1637.432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Дисциплина Б1.В.02.03 «Методология и методы педагогического исследования в сфере физической культуры и спорта» относится к обязательной части, является дисциплиной Блока Б1. «Дисциплины (модули)». Модуль "Основы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
</w:r>
</w:p>
</w:tc>
</w:tr>
</w:tbl>
<w:p><w:pPr><w:rPr> <w:sz w:val="0" /><w:szCs w:val="0"/></w:rPr></w:pPr><w:r><w:br w:type="page" /></w:r></w:p>
<w:tbl>
<w:tblPr>
<w:tblW w:w="0" w:type="auto" />
<w:tblCellMar><w:left w:w="0" w:type="dxa"/><w:right w:w="0" w:type="dxa"/></w:tblCellMar>
<w:tblBorders>
<w:top w:val="none" w:sz="0" w:space="0" w:color="auto" />
<w:left w:val="none" w:sz="0" w:space="0" w:color="auto" />
<w:bottom w:val="none" w:sz="0" w:space="0" w:color="auto" />
<w:right w:val="none" w:sz="0" w:space="0" w:color="auto" />
<w:insideH w:val="none" w:sz="0" w:space="0" w:color="auto" />
<w:insideV w:val="none" w:sz="0" w:space="0" w:color="auto" />
</w:tblBorders>
</w:tblPr>
<w:tblGrid>
<w:gridCol w:w="3969"  />
<w:gridCol w:w="1701"  />
<w:gridCol w:w="1701"  />
<w:gridCol w:w="425"  />
<w:gridCol w:w="709"  />
<w:gridCol w:w="142"  />
<w:gridCol w:w="992"  />
</w:tblGrid>
<w:tr>
<w:trPr>
<w:trHeight w:hRule="exact" w:val="277.83"  />
</w:trPr>
<w:tc>
<w:tcPr>
<w:tcW w:w="8661.75"  w:type="dxa" />
<w:gridSpan w:val="6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center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Содержательно-логические связи</w:t>
</w:r>
</w:p>
</w:tc>
<w:tc>
<w:tcPr>
<w:tcW w:w="1007.25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vMerge w:val="restart" />
<w:shd w:val="clear" w:color="#000000" w:fill="#FFFFFF" />
<w:vAlign w:val="center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Коды</w:t>
</w:r>
</w:p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форми-</w:t>
</w:r>
</w:p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руемых</w:t>
</w:r>
</w:p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компе-</w:t>
</w:r>
</w:p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тенций</w:t>
</w:r>
</w:p>
</w:tc>
</w:tr>
<w:tr>
<w:trPr>
<w:trHeight w:hRule="exact" w:val="277.83"  />
</w:trPr>
<w:tc>
<w:tcPr>
<w:tcW w:w="8661.75"  w:type="dxa" />
<w:gridSpan w:val="6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center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Наименование дисциплин, практик</w:t>
</w:r>
</w:p>
</w:tc>
<w:tc>
<w:tcPr>
<w:tcW w:w="1007.25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vMerge />
<w:shd w:val="clear" w:color="#000000" w:fill="#FFFFFF" />
<w:vAlign w:val="center"  />
<w:tcMar><w:left w:w="34"  w:type="dxa"/><w:right w:w="34"  w:type="dxa"/></w:tcMar>
</w:tcPr>
<w:p />
</w:tc>
</w:tr>
<w:tr>
<w:trPr>
<w:trHeight w:hRule="exact" w:val="833.49"  />
</w:trPr>
<w:tc>
<w:tcPr>
<w:tcW w:w="398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center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на которые опирается содержание данной учебной дисциплины</w:t>
</w:r>
</w:p>
</w:tc>
<w:tc>
<w:tcPr>
<w:tcW w:w="4692.75"  w:type="dxa" />
<w:gridSpan w:val="5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center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для которых содержание данной учебной дисциплины является опорой</w:t>
</w:r>
</w:p>
</w:tc>
<w:tc>
<w:tcPr>
<w:tcW w:w="1007.25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vMerge />
<w:shd w:val="clear" w:color="#000000" w:fill="#FFFFFF" />
<w:vAlign w:val="center"  />
<w:tcMar><w:left w:w="34"  w:type="dxa"/><w:right w:w="34"  w:type="dxa"/></w:tcMar>
</w:tcPr>
<w:p />
</w:tc>
</w:tr>
<w:tr>
<w:trPr>
<w:trHeight w:hRule="exact" w:val="2550.303"  />
</w:trPr>
<w:tc>
<w:tcPr>
<w:tcW w:w="398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center"  />
<w:tcMar><w:left w:w="34"  w:type="dxa"/><w:right w:w="34"  w:type="dxa"/></w:tcMar>
</w:tcPr>
<w:p><w:pPr><w:jc w:val="center"  />
<w:spacing w:after="0" w:line="240"  w:lineRule="auto" />
<w:rPr><w:sz w:val="22"  /><w:szCs w:val="22"  /></w:rPr>
</w:pPr>
<w:r>
<w:rPr>
<w:rFonts w:ascii="Times New Roman"  w:hAnsi="Times New Roman"  w:cs="Times New Roman"  /> 
<w:color w:val="#000000" />
<w:sz w:val="22"  />
<w:szCs w:val="22"  />
</w:rPr>
<w:t> Педагогика</w:t>
</w:r>
</w:p>
<w:p><w:pPr><w:jc w:val="center"  />
<w:spacing w:after="0" w:line="240"  w:lineRule="auto" />
<w:rPr><w:sz w:val="22"  /><w:szCs w:val="22"  /></w:rPr>
</w:pPr>
<w:r>
<w:rPr>
<w:rFonts w:ascii="Times New Roman"  w:hAnsi="Times New Roman"  w:cs="Times New Roman"  /> 
<w:color w:val="#000000" />
<w:sz w:val="22"  />
<w:szCs w:val="22"  />
</w:rPr>
<w:t> Учебная практика (научно- исследовательская работа (получение первичных навыков научно- исследовательской работы))</w:t>
</w:r>
</w:p>
<w:p><w:pPr><w:jc w:val="center"  />
<w:spacing w:after="0" w:line="240"  w:lineRule="auto" />
<w:rPr><w:sz w:val="22"  /><w:szCs w:val="22"  /></w:rPr>
</w:pPr>
<w:r>
<w:rPr>
<w:rFonts w:ascii="Times New Roman"  w:hAnsi="Times New Roman"  w:cs="Times New Roman"  /> 
<w:color w:val="#000000" />
<w:sz w:val="22"  />
<w:szCs w:val="22"  />
</w:rPr>
<w:t> Стратегии противодействия международному терроризму</w:t>
</w:r>
</w:p>
<w:p><w:pPr><w:jc w:val="center"  />
<w:spacing w:after="0" w:line="240"  w:lineRule="auto" />
<w:rPr><w:sz w:val="22"  /><w:szCs w:val="22"  /></w:rPr>
</w:pPr>
<w:r>
<w:rPr>
<w:rFonts w:ascii="Times New Roman"  w:hAnsi="Times New Roman"  w:cs="Times New Roman"  /> 
<w:color w:val="#000000" />
<w:sz w:val="22"  />
<w:szCs w:val="22"  />
</w:rPr>
<w:t> Технологии организации внеучебной работы. Подготовка к сдаче комплекса ГТО</w:t>
</w:r>
</w:p>
</w:tc>
<w:tc>
<w:tcPr>
<w:tcW w:w="4692.75"  w:type="dxa" />
<w:gridSpan w:val="5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center"  />
<w:tcMar><w:left w:w="34"  w:type="dxa"/><w:right w:w="34"  w:type="dxa"/></w:tcMar>
</w:tcPr>
<w:p />
</w:tc>
<w:tc>
<w:tcPr>
<w:tcW w:w="1007.25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center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ПК-4, ПК-2, ПК-1, УК-3, УК-2, УК-1</w:t>
</w:r>
</w:p>
</w:tc>
</w:tr>
<w:tr>
<w:trPr>
<w:trHeight w:hRule="exact" w:val="138.9152"  />
</w:trPr>
<w:tc>
<w:tcPr>
<w:tcW w:w="3970"  w:type="dxa" />
</w:tcPr>
<w:p />
</w:tc>
<w:tc>
<w:tcPr>
<w:tcW w:w="1702"  w:type="dxa" />
</w:tcPr>
<w:p />
</w:tc>
<w:tc>
<w:tcPr>
<w:tcW w:w="1702"  w:type="dxa" />
</w:tcPr>
<w:p />
</w:tc>
<w:tc>
<w:tcPr>
<w:tcW w:w="426"  w:type="dxa" />
</w:tcPr>
<w:p />
</w:tc>
<w:tc>
<w:tcPr>
<w:tcW w:w="710"  w:type="dxa" />
</w:tcPr>
<w:p />
</w:tc>
<w:tc>
<w:tcPr>
<w:tcW w:w="143"  w:type="dxa" />
</w:tcPr>
<w:p />
</w:tc>
<w:tc>
<w:tcPr>
<w:tcW w:w="993"  w:type="dxa" />
</w:tcPr>
<w:p />
</w:tc>
</w:tr>
<w:tr>
<w:trPr>
<w:trHeight w:hRule="exact" w:val="1125.873"  />
</w:trPr>
<w:tc>
<w:tcPr>
<w:tcW w:w="9654"  w:type="dxa" />
<w:gridSpan w:val="7"  />
<w:tcBorders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
</w:r>
</w:p>
</w:tc>
</w:tr>
<w:tr>
<w:trPr>
<w:trHeight w:hRule="exact" w:val="585.0598"  />
</w:trPr>
<w:tc>
<w:tcPr>
<w:tcW w:w="9654"  w:type="dxa" />
<w:gridSpan w:val="7" 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Объем учебной дисциплины – 3 зачетных единиц – 108 академических часов</w:t>
</w:r>
</w:p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Из них:</w:t>
</w:r>
</w:p>
</w:tc>
</w:tr>
<w:tr>
<w:trPr>
<w:trHeight w:hRule="exact" w:val="138.9152"  />
</w:trPr>
<w:tc>
<w:tcPr>
<w:tcW w:w="3970"  w:type="dxa" />
</w:tcPr>
<w:p />
</w:tc>
<w:tc>
<w:tcPr>
<w:tcW w:w="1702"  w:type="dxa" />
</w:tcPr>
<w:p />
</w:tc>
<w:tc>
<w:tcPr>
<w:tcW w:w="1702"  w:type="dxa" />
</w:tcPr>
<w:p />
</w:tc>
<w:tc>
<w:tcPr>
<w:tcW w:w="426"  w:type="dxa" />
</w:tcPr>
<w:p />
</w:tc>
<w:tc>
<w:tcPr>
<w:tcW w:w="710"  w:type="dxa" />
</w:tcPr>
<w:p />
</w:tc>
<w:tc>
<w:tcPr>
<w:tcW w:w="143"  w:type="dxa" />
</w:tcPr>
<w:p />
</w:tc>
<w:tc>
<w:tcPr>
<w:tcW w:w="993"  w:type="dxa" />
</w:tcPr>
<w:p />
</w:tc>
</w:tr>
<w:tr>
<w:trPr>
<w:trHeight w:hRule="exact" w:val="277.8299"  />
</w:trPr>
<w:tc>
<w:tcPr>
<w:tcW w:w="7811.25"  w:type="dxa" />
<w:gridSpan w:val="4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Контактная работа</w:t>
</w:r>
</w:p>
</w:tc>
<w:tc>
<w:tcPr>
<w:tcW w:w="1857.75"  w:type="dxa" />
<w:gridSpan w:val="3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10</w:t>
</w:r>
</w:p>
</w:tc>
</w:tr>
<w:tr>
<w:trPr>
<w:trHeight w:hRule="exact" w:val="277.8299"  />
</w:trPr>
<w:tc>
<w:tcPr>
<w:tcW w:w="7811.25"  w:type="dxa" />
<w:gridSpan w:val="4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i />
<w:color w:val="#000000" />
<w:sz w:val="24"  />
<w:szCs w:val="24"  />
</w:rPr>
<w:t> Лекций</w:t>
</w:r>
</w:p>
</w:tc>
<w:tc>
<w:tcPr>
<w:tcW w:w="1857.75"  w:type="dxa" />
<w:gridSpan w:val="3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6</w:t>
</w:r>
</w:p>
</w:tc>
</w:tr>
<w:tr>
<w:trPr>
<w:trHeight w:hRule="exact" w:val="277.8299"  />
</w:trPr>
<w:tc>
<w:tcPr>
<w:tcW w:w="7811.25"  w:type="dxa" />
<w:gridSpan w:val="4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i />
<w:color w:val="#000000" />
<w:sz w:val="24"  />
<w:szCs w:val="24"  />
</w:rPr>
<w:t> Лабораторных работ</w:t>
</w:r>
</w:p>
</w:tc>
<w:tc>
<w:tcPr>
<w:tcW w:w="1857.75"  w:type="dxa" />
<w:gridSpan w:val="3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0</w:t>
</w:r>
</w:p>
</w:tc>
</w:tr>
<w:tr>
<w:trPr>
<w:trHeight w:hRule="exact" w:val="277.8304"  />
</w:trPr>
<w:tc>
<w:tcPr>
<w:tcW w:w="7811.25"  w:type="dxa" />
<w:gridSpan w:val="4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i />
<w:color w:val="#000000" />
<w:sz w:val="24"  />
<w:szCs w:val="24"  />
</w:rPr>
<w:t> Практических занятий</w:t>
</w:r>
</w:p>
</w:tc>
<w:tc>
<w:tcPr>
<w:tcW w:w="1857.75"  w:type="dxa" />
<w:gridSpan w:val="3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2</w:t>
</w:r>
</w:p>
</w:tc>
</w:tr>
<w:tr>
<w:trPr>
<w:trHeight w:hRule="exact" w:val="277.8299"  />
</w:trPr>
<w:tc>
<w:tcPr>
<w:tcW w:w="7811.25"  w:type="dxa" />
<w:gridSpan w:val="4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i />
<w:color w:val="#000000" />
<w:sz w:val="24"  />
<w:szCs w:val="24"  />
</w:rPr>
<w:t> Семинарских занятий</w:t>
</w:r>
</w:p>
</w:tc>
<w:tc>
<w:tcPr>
<w:tcW w:w="1857.75"  w:type="dxa" />
<w:gridSpan w:val="3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2</w:t>
</w:r>
</w:p>
</w:tc>
</w:tr>
<w:tr>
<w:trPr>
<w:trHeight w:hRule="exact" w:val="277.8299"  />
</w:trPr>
<w:tc>
<w:tcPr>
<w:tcW w:w="7811.25"  w:type="dxa" />
<w:gridSpan w:val="4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Самостоятельная работа обучающихся</w:t>
</w:r>
</w:p>
</w:tc>
<w:tc>
<w:tcPr>
<w:tcW w:w="1857.75"  w:type="dxa" />
<w:gridSpan w:val="3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87</w:t>
</w:r>
</w:p>
</w:tc>
</w:tr>
<w:tr>
<w:trPr>
<w:trHeight w:hRule="exact" w:val="277.8304"  />
</w:trPr>
<w:tc>
<w:tcPr>
<w:tcW w:w="7811.25"  w:type="dxa" />
<w:gridSpan w:val="4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Контроль</w:t>
</w:r>
</w:p>
</w:tc>
<w:tc>
<w:tcPr>
<w:tcW w:w="1857.75"  w:type="dxa" />
<w:gridSpan w:val="3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9</w:t>
</w:r>
</w:p>
</w:tc>
</w:tr>
<w:tr>
<w:trPr>
<w:trHeight w:hRule="exact" w:val="416.7446"  />
</w:trPr>
<w:tc>
<w:tcPr>
<w:tcW w:w="3970"  w:type="dxa" />
</w:tcPr>
<w:p />
</w:tc>
<w:tc>
<w:tcPr>
<w:tcW w:w="1702"  w:type="dxa" />
</w:tcPr>
<w:p />
</w:tc>
<w:tc>
<w:tcPr>
<w:tcW w:w="1702"  w:type="dxa" />
</w:tcPr>
<w:p />
</w:tc>
<w:tc>
<w:tcPr>
<w:tcW w:w="426"  w:type="dxa" />
</w:tcPr>
<w:p />
</w:tc>
<w:tc>
<w:tcPr>
<w:tcW w:w="710"  w:type="dxa" />
</w:tcPr>
<w:p />
</w:tc>
<w:tc>
<w:tcPr>
<w:tcW w:w="143"  w:type="dxa" />
</w:tcPr>
<w:p />
</w:tc>
<w:tc>
<w:tcPr>
<w:tcW w:w="993"  w:type="dxa" />
</w:tcPr>
<w:p />
</w:tc>
</w:tr>
<w:tr>
<w:trPr>
<w:trHeight w:hRule="exact" w:val="277.8304"  />
</w:trPr>
<w:tc>
<w:tcPr>
<w:tcW w:w="7811.25"  w:type="dxa" />
<w:gridSpan w:val="4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Формы промежуточной аттестации</w:t>
</w:r>
</w:p>
</w:tc>
<w:tc>
<w:tcPr>
<w:tcW w:w="1857.75"  w:type="dxa" />
<w:gridSpan w:val="3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экзамены 4</w:t>
</w:r>
</w:p>
</w:tc>
</w:tr>
<w:tr>
<w:trPr>
<w:trHeight w:hRule="exact" w:val="277.8295"  />
</w:trPr>
<w:tc>
<w:tcPr>
<w:tcW w:w="3970"  w:type="dxa" />
</w:tcPr>
<w:p />
</w:tc>
<w:tc>
<w:tcPr>
<w:tcW w:w="1702"  w:type="dxa" />
</w:tcPr>
<w:p />
</w:tc>
<w:tc>
<w:tcPr>
<w:tcW w:w="1702"  w:type="dxa" />
</w:tcPr>
<w:p />
</w:tc>
<w:tc>
<w:tcPr>
<w:tcW w:w="426"  w:type="dxa" />
</w:tcPr>
<w:p />
</w:tc>
<w:tc>
<w:tcPr>
<w:tcW w:w="710"  w:type="dxa" />
</w:tcPr>
<w:p />
</w:tc>
<w:tc>
<w:tcPr>
<w:tcW w:w="143"  w:type="dxa" />
</w:tcPr>
<w:p />
</w:tc>
<w:tc>
<w:tcPr>
<w:tcW w:w="993"  w:type="dxa" />
</w:tcPr>
<w:p />
</w:tc>
</w:tr>
<w:tr>
<w:trPr>
<w:trHeight w:hRule="exact" w:val="1666.833"  />
</w:trPr>
<w:tc>
<w:tcPr>
<w:tcW w:w="9654"  w:type="dxa" />
<w:gridSpan w:val="7" 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</w:t>
</w:r>
</w:p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
</w:r>
</w:p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</w:t>
</w:r>
</w:p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	5.1. Тематический план</w:t>
</w:r>
</w:p>
</w:tc>
</w:tr>
<w:tr>
<w:trPr>
<w:trHeight w:hRule="exact" w:val="416.7446"  />
</w:trPr>
<w:tc>
<w:tcPr>
<w:tcW w:w="3970"  w:type="dxa" />
</w:tcPr>
<w:p />
</w:tc>
<w:tc>
<w:tcPr>
<w:tcW w:w="1702"  w:type="dxa" />
</w:tcPr>
<w:p />
</w:tc>
<w:tc>
<w:tcPr>
<w:tcW w:w="1702"  w:type="dxa" />
</w:tcPr>
<w:p />
</w:tc>
<w:tc>
<w:tcPr>
<w:tcW w:w="426"  w:type="dxa" />
</w:tcPr>
<w:p />
</w:tc>
<w:tc>
<w:tcPr>
<w:tcW w:w="710"  w:type="dxa" />
</w:tcPr>
<w:p />
</w:tc>
<w:tc>
<w:tcPr>
<w:tcW w:w="143"  w:type="dxa" />
</w:tcPr>
<w:p />
</w:tc>
<w:tc>
<w:tcPr>
<w:tcW w:w="993"  w:type="dxa" />
</w:tcPr>
<w:p />
</w:tc>
</w:tr>
<w:tr>
<w:trPr>
<w:trHeight w:hRule="exact" w:val="304.5836"  />
</w:trPr>
<w:tc>
<w:tcPr>
<w:tcW w:w="5685"  w:type="dxa" />
<w:gridSpan w:val="2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center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Наименование раздела дисциплины</w:t>
</w:r>
</w:p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center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Вид занятия</w:t>
</w:r>
</w:p>
</w:tc>
<w:tc>
<w:tcPr>
<w:tcW w:w="1149"  w:type="dxa" />
<w:gridSpan w:val="2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center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Курс</w:t>
</w:r>
</w:p>
</w:tc>
<w:tc>
<w:tcPr>
<w:tcW w:w="1149"  w:type="dxa" />
<w:gridSpan w:val="2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center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Часов</w:t>
</w:r>
</w:p>
</w:tc>
</w:tr>
<w:tr>
<w:trPr>
<w:trHeight w:hRule="exact" w:val="855.5411"  />
</w:trPr>
<w:tc>
<w:tcPr>
<w:tcW w:w="5685"  w:type="dxa" />
<w:gridSpan w:val="2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D3D3D3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Методология социально-педагогических исследований: проблемы и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перспективы*</w:t>
</w:r>
</w:p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D3D3D3" />
<w:vAlign w:val="top"  />
<w:tcMar><w:left w:w="34"  w:type="dxa"/><w:right w:w="34"  w:type="dxa"/></w:tcMar>
</w:tcPr>
<w:p />
</w:tc>
<w:tc>
<w:tcPr>
<w:tcW w:w="1149"  w:type="dxa" />
<w:gridSpan w:val="2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D3D3D3" />
<w:vAlign w:val="top"  />
<w:tcMar><w:left w:w="34"  w:type="dxa"/><w:right w:w="34"  w:type="dxa"/></w:tcMar>
</w:tcPr>
<w:p />
</w:tc>
<w:tc>
<w:tcPr>
<w:tcW w:w="1149"  w:type="dxa" />
<w:gridSpan w:val="2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D3D3D3" />
<w:vAlign w:val="top"  />
<w:tcMar><w:left w:w="34"  w:type="dxa"/><w:right w:w="34"  w:type="dxa"/></w:tcMar>
</w:tcPr>
<w:p />
</w:tc>
</w:tr>
<w:tr>
<w:trPr>
<w:trHeight w:hRule="exact" w:val="855.5402"  />
</w:trPr>
<w:tc>
<w:tcPr>
<w:tcW w:w="5685"  w:type="dxa" />
<w:gridSpan w:val="2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Методология социально-педагогических исследований: проблемы и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перспективы*</w:t>
</w:r>
</w:p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Лек</w:t>
</w:r>
</w:p>
</w:tc>
<w:tc>
<w:tcPr>
<w:tcW w:w="1149"  w:type="dxa" />
<w:gridSpan w:val="2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4</w:t>
</w:r>
</w:p>
</w:tc>
<w:tc>
<w:tcPr>
<w:tcW w:w="1149"  w:type="dxa" />
<w:gridSpan w:val="2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2</w:t>
</w:r>
</w:p>
</w:tc>
</w:tr>
<w:tr>
<w:trPr>
<w:trHeight w:hRule="exact" w:val="855.5402"  />
</w:trPr>
<w:tc>
<w:tcPr>
<w:tcW w:w="5685"  w:type="dxa" />
<w:gridSpan w:val="2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Специфика научного исследования по проблемам физической культуры и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спорта*</w:t>
</w:r>
</w:p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Лек</w:t>
</w:r>
</w:p>
</w:tc>
<w:tc>
<w:tcPr>
<w:tcW w:w="1149"  w:type="dxa" />
<w:gridSpan w:val="2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4</w:t>
</w:r>
</w:p>
</w:tc>
<w:tc>
<w:tcPr>
<w:tcW w:w="1149"  w:type="dxa" />
<w:gridSpan w:val="2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0</w:t>
</w:r>
</w:p>
</w:tc>
</w:tr>
<w:tr>
<w:trPr>
<w:trHeight w:hRule="exact" w:val="585.0589"  />
</w:trPr>
<w:tc>
<w:tcPr>
<w:tcW w:w="5685"  w:type="dxa" />
<w:gridSpan w:val="2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Методы исследований по проблемам физической культуры и спорта</w:t>
</w:r>
</w:p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Лек</w:t>
</w:r>
</w:p>
</w:tc>
<w:tc>
<w:tcPr>
<w:tcW w:w="1149"  w:type="dxa" />
<w:gridSpan w:val="2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4</w:t>
</w:r>
</w:p>
</w:tc>
<w:tc>
<w:tcPr>
<w:tcW w:w="1149"  w:type="dxa" />
<w:gridSpan w:val="2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0</w:t>
</w:r>
</w:p>
</w:tc>
</w:tr>
<w:tr>
<w:trPr>
<w:trHeight w:hRule="exact" w:val="585.0607"  />
</w:trPr>
<w:tc>
<w:tcPr>
<w:tcW w:w="5685"  w:type="dxa" />
<w:gridSpan w:val="2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Организация исследований по проблемам физической культуры и спорта</w:t>
</w:r>
</w:p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Лек</w:t>
</w:r>
</w:p>
</w:tc>
<w:tc>
<w:tcPr>
<w:tcW w:w="1149"  w:type="dxa" />
<w:gridSpan w:val="2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4</w:t>
</w:r>
</w:p>
</w:tc>
<w:tc>
<w:tcPr>
<w:tcW w:w="1149"  w:type="dxa" />
<w:gridSpan w:val="2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0</w:t>
</w:r>
</w:p>
</w:tc>
</w:tr>
</w:tbl>
<w:p><w:pPr><w:rPr> <w:sz w:val="0" /><w:szCs w:val="0"/></w:rPr></w:pPr><w:r><w:br w:type="page" /></w:r></w:p>
<w:tbl>
<w:tblPr>
<w:tblW w:w="0" w:type="auto" />
<w:tblCellMar><w:left w:w="0" w:type="dxa"/><w:right w:w="0" w:type="dxa"/></w:tblCellMar>
<w:tblBorders>
<w:top w:val="none" w:sz="0" w:space="0" w:color="auto" />
<w:left w:val="none" w:sz="0" w:space="0" w:color="auto" />
<w:bottom w:val="none" w:sz="0" w:space="0" w:color="auto" />
<w:right w:val="none" w:sz="0" w:space="0" w:color="auto" />
<w:insideH w:val="none" w:sz="0" w:space="0" w:color="auto" />
<w:insideV w:val="none" w:sz="0" w:space="0" w:color="auto" />
</w:tblBorders>
</w:tblPr>
<w:tblGrid>
<w:gridCol w:w="5670"  />
<w:gridCol w:w="1701"  />
<w:gridCol w:w="1134"  />
<w:gridCol w:w="1134"  />
</w:tblGrid>
<w:tr>
<w:trPr>
<w:trHeight w:hRule="exact" w:val="585.06"  />
</w:trPr>
<w:tc>
<w:tcPr>
<w:tcW w:w="5685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Гипотеза в исследованиях по проблемам физической культуры и спорта*</w:t>
</w:r>
</w:p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Лек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4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0</w:t>
</w:r>
</w:p>
</w:tc>
</w:tr>
<w:tr>
<w:trPr>
<w:trHeight w:hRule="exact" w:val="855.54"  />
</w:trPr>
<w:tc>
<w:tcPr>
<w:tcW w:w="5685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Актуальность и понятийно-терминологический аппарат исследований по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проблемам физической культуры и спорта</w:t>
</w:r>
</w:p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Лек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4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0</w:t>
</w:r>
</w:p>
</w:tc>
</w:tr>
<w:tr>
<w:trPr>
<w:trHeight w:hRule="exact" w:val="585.0601"  />
</w:trPr>
<w:tc>
<w:tcPr>
<w:tcW w:w="5685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 Магистерская диссертация как научно- педагогическое исследование</w:t>
</w:r>
</w:p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Лек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4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2</w:t>
</w:r>
</w:p>
</w:tc>
</w:tr>
<w:tr>
<w:trPr>
<w:trHeight w:hRule="exact" w:val="304.584"  />
</w:trPr>
<w:tc>
<w:tcPr>
<w:tcW w:w="5685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Язык и текст магистерской диссертации*</w:t>
</w:r>
</w:p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Лек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4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0</w:t>
</w:r>
</w:p>
</w:tc>
</w:tr>
<w:tr>
<w:trPr>
<w:trHeight w:hRule="exact" w:val="304.584"  />
</w:trPr>
<w:tc>
<w:tcPr>
<w:tcW w:w="5685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 Методы эмпирического исследования</w:t>
</w:r>
</w:p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Лек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4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2</w:t>
</w:r>
</w:p>
</w:tc>
</w:tr>
<w:tr>
<w:trPr>
<w:trHeight w:hRule="exact" w:val="855.5399"  />
</w:trPr>
<w:tc>
<w:tcPr>
<w:tcW w:w="5685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Специфика научного исследования по проблемам физической культуры и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спорта*</w:t>
</w:r>
</w:p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Пр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4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0</w:t>
</w:r>
</w:p>
</w:tc>
</w:tr>
<w:tr>
<w:trPr>
<w:trHeight w:hRule="exact" w:val="585.0598"  />
</w:trPr>
<w:tc>
<w:tcPr>
<w:tcW w:w="5685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Методы исследований по проблемам физической культуры и спорта</w:t>
</w:r>
</w:p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Пр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4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0</w:t>
</w:r>
</w:p>
</w:tc>
</w:tr>
<w:tr>
<w:trPr>
<w:trHeight w:hRule="exact" w:val="585.0598"  />
</w:trPr>
<w:tc>
<w:tcPr>
<w:tcW w:w="5685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Гипотеза в исследованиях по проблемам физической культуры и спорта*</w:t>
</w:r>
</w:p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Пр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4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0</w:t>
</w:r>
</w:p>
</w:tc>
</w:tr>
<w:tr>
<w:trPr>
<w:trHeight w:hRule="exact" w:val="304.5845"  />
</w:trPr>
<w:tc>
<w:tcPr>
<w:tcW w:w="5685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 Методы эмпирического исследования</w:t>
</w:r>
</w:p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Пр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4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2</w:t>
</w:r>
</w:p>
</w:tc>
</w:tr>
<w:tr>
<w:trPr>
<w:trHeight w:hRule="exact" w:val="855.5402"  />
</w:trPr>
<w:tc>
<w:tcPr>
<w:tcW w:w="5685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Методология социально-педагогических исследований: проблемы и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перспективы*</w:t>
</w:r>
</w:p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СР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4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2</w:t>
</w:r>
</w:p>
</w:tc>
</w:tr>
<w:tr>
<w:trPr>
<w:trHeight w:hRule="exact" w:val="304.5836"  />
</w:trPr>
<w:tc>
<w:tcPr>
<w:tcW w:w="5685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 /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СР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4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85</w:t>
</w:r>
</w:p>
</w:tc>
</w:tr>
<w:tr>
<w:trPr>
<w:trHeight w:hRule="exact" w:val="585.0598"  />
</w:trPr>
<w:tc>
<w:tcPr>
<w:tcW w:w="5685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Организация исследований по проблемам физической культуры и спорта</w:t>
</w:r>
</w:p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Сем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4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0</w:t>
</w:r>
</w:p>
</w:tc>
</w:tr>
<w:tr>
<w:trPr>
<w:trHeight w:hRule="exact" w:val="855.5402"  />
</w:trPr>
<w:tc>
<w:tcPr>
<w:tcW w:w="5685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Актуальность и понятийно-терминологический аппарат исследований по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проблемам физической культуры и спорта</w:t>
</w:r>
</w:p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Сем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4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0</w:t>
</w:r>
</w:p>
</w:tc>
</w:tr>
<w:tr>
<w:trPr>
<w:trHeight w:hRule="exact" w:val="585.0598"  />
</w:trPr>
<w:tc>
<w:tcPr>
<w:tcW w:w="5685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 Магистерская диссертация как научно- педагогическое исследование</w:t>
</w:r>
</w:p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Сем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4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0</w:t>
</w:r>
</w:p>
</w:tc>
</w:tr>
<w:tr>
<w:trPr>
<w:trHeight w:hRule="exact" w:val="304.5836"  />
</w:trPr>
<w:tc>
<w:tcPr>
<w:tcW w:w="5685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Язык и текст магистерской диссертации*</w:t>
</w:r>
</w:p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Сем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4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2</w:t>
</w:r>
</w:p>
</w:tc>
</w:tr>
<w:tr>
<w:trPr>
<w:trHeight w:hRule="exact" w:val="304.5845"  />
</w:trPr>
<w:tc>
<w:tcPr>
<w:tcW w:w="5685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 /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Эк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4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9</w:t>
</w:r>
</w:p>
</w:tc>
</w:tr>
<w:tr>
<w:trPr>
<w:trHeight w:hRule="exact" w:val="304.5836"  />
</w:trPr>
<w:tc>
<w:tcPr>
<w:tcW w:w="5685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 /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Конс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4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2</w:t>
</w:r>
</w:p>
</w:tc>
</w:tr>
<w:tr>
<w:trPr>
<w:trHeight w:hRule="exact" w:val="277.8312"  />
</w:trPr>
<w:tc>
<w:tcPr>
<w:tcW w:w="5685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Всего</w:t>
</w:r>
</w:p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 /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 /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108</w:t>
</w:r>
</w:p>
</w:tc>
</w:tr>
<w:tr>
<w:trPr>
<w:trHeight w:hRule="exact" w:val="6049.342"  />
</w:trPr>
<w:tc>
<w:tcPr>
<w:tcW w:w="9654"  w:type="dxa" />
<w:gridSpan w:val="4"  />
<w:tcBorders>
</w:tcBorders>
<w:shd w:val="clear" w:color="#000000" w:fill="#FFFFFF" />
<w:vAlign w:val="top"  />
<w:tcMar><w:left w:w="34"  w:type="dxa"/><w:right w:w="34"  w:type="dxa"/></w:tcMar>
</w:tcPr>
<w:p><w:pPr><w:jc w:val="both"  />
<w:spacing w:after="0" w:line="240"  w:lineRule="auto" />
<w:rPr><w:sz w:val="20"  /><w:szCs w:val="20"  /></w:rPr>
</w:pPr>
<w:r>
<w:rPr>
<w:rFonts w:ascii="Times New Roman"  w:hAnsi="Times New Roman"  w:cs="Times New Roman"  /> 
<w:color w:val="#000000" />
<w:sz w:val="20"  />
<w:szCs w:val="20"  />
</w:rPr>
<w:t> </w:t>
</w:r>
</w:p>
<w:p><w:pPr><w:jc w:val="both"  />
<w:spacing w:after="0" w:line="240"  w:lineRule="auto" />
<w:rPr><w:sz w:val="20"  /><w:szCs w:val="20"  /></w:rPr>
</w:pPr>
<w:r>
<w:rPr>
<w:rFonts w:ascii="Times New Roman"  w:hAnsi="Times New Roman"  w:cs="Times New Roman"  /> 
<w:color w:val="#000000" />
<w:sz w:val="20"  />
<w:szCs w:val="20"  />
</w:rPr>
<w:t> * Примечания:</w:t>
</w:r>
</w:p>
<w:p><w:pPr><w:jc w:val="both"  />
<w:spacing w:after="0" w:line="240"  w:lineRule="auto" />
<w:rPr><w:sz w:val="20"  /><w:szCs w:val="20"  /></w:rPr>
</w:pPr>
<w:r>
<w:rPr>
<w:rFonts w:ascii="Times New Roman"  w:hAnsi="Times New Roman"  w:cs="Times New Roman"  /> 
<w:color w:val="#000000" />
<w:sz w:val="20"  />
<w:szCs w:val="20"  />
</w:rPr>
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
</w:r>
</w:p>
<w:p><w:pPr><w:jc w:val="both"  />
<w:spacing w:after="0" w:line="240"  w:lineRule="auto" />
<w:rPr><w:sz w:val="20"  /><w:szCs w:val="20"  /></w:rPr>
</w:pPr>
<w:r>
<w:rPr>
<w:rFonts w:ascii="Times New Roman"  w:hAnsi="Times New Roman"  w:cs="Times New Roman"  /> 
<w:color w:val="#000000" />
<w:sz w:val="20"  />
<w:szCs w:val="20"  />
</w:rPr>
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
</w:r>
</w:p>
<w:p><w:pPr><w:jc w:val="both"  />
<w:spacing w:after="0" w:line="240"  w:lineRule="auto" />
<w:rPr><w:sz w:val="20"  /><w:szCs w:val="20"  /></w:rPr>
</w:pPr>
<w:r>
<w:rPr>
<w:rFonts w:ascii="Times New Roman"  w:hAnsi="Times New Roman"  w:cs="Times New Roman"  /> 
<w:color w:val="#000000" />
<w:sz w:val="20"  />
<w:szCs w:val="20"  />
</w:rPr>
<w:t> б) Для обучающихся с ограниченными возможностями здоровья и инвалидов:</w:t>
</w:r>
</w:p>
<w:p><w:pPr><w:jc w:val="both"  />
<w:spacing w:after="0" w:line="240"  w:lineRule="auto" />
<w:rPr><w:sz w:val="20"  /><w:szCs w:val="20"  /></w:rPr>
</w:pPr>
<w:r>
<w:rPr>
<w:rFonts w:ascii="Times New Roman"  w:hAnsi="Times New Roman"  w:cs="Times New Roman"  /> 
<w:color w:val="#000000" />
<w:sz w:val="20"  />
<w:szCs w:val="20"  />
</w:rPr>
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
</w:r>
</w:p>
</w:tc>
</w:tr>
</w:tbl>
<w:p><w:pPr><w:rPr> <w:sz w:val="0" /><w:szCs w:val="0"/></w:rPr></w:pPr><w:r><w:br w:type="page" /></w:r></w:p>
<w:tbl>
<w:tblPr>
<w:tblW w:w="0" w:type="auto" />
<w:tblCellMar><w:left w:w="0" w:type="dxa"/><w:right w:w="0" w:type="dxa"/></w:tblCellMar>
<w:tblBorders>
<w:top w:val="none" w:sz="0" w:space="0" w:color="auto" />
<w:left w:val="none" w:sz="0" w:space="0" w:color="auto" />
<w:bottom w:val="none" w:sz="0" w:space="0" w:color="auto" />
<w:right w:val="none" w:sz="0" w:space="0" w:color="auto" />
<w:insideH w:val="none" w:sz="0" w:space="0" w:color="auto" />
<w:insideV w:val="none" w:sz="0" w:space="0" w:color="auto" />
</w:tblBorders>
</w:tblPr>
<w:tblGrid>
<w:gridCol w:w="9639"  />
</w:tblGrid>
<w:tr>
<w:trPr>
<w:trHeight w:hRule="exact" w:val="11058.37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both"  />
<w:spacing w:after="0" w:line="240"  w:lineRule="auto" />
<w:rPr><w:sz w:val="20"  /><w:szCs w:val="20"  /></w:rPr>
</w:pPr>
<w:r>
<w:rPr>
<w:rFonts w:ascii="Times New Roman"  w:hAnsi="Times New Roman"  w:cs="Times New Roman"  /> 
<w:color w:val="#000000" />
<w:sz w:val="20"  />
<w:szCs w:val="20"  />
</w:rPr>
<w:t>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
</w:r>
</w:p>
<w:p><w:pPr><w:jc w:val="both"  />
<w:spacing w:after="0" w:line="240"  w:lineRule="auto" />
<w:rPr><w:sz w:val="20"  /><w:szCs w:val="20"  /></w:rPr>
</w:pPr>
<w:r>
<w:rPr>
<w:rFonts w:ascii="Times New Roman"  w:hAnsi="Times New Roman"  w:cs="Times New Roman"  /> 
<w:color w:val="#000000" />
<w:sz w:val="20"  />
<w:szCs w:val="20"  />
</w:rPr>
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
</w:r>
</w:p>
<w:p><w:pPr><w:jc w:val="both"  />
<w:spacing w:after="0" w:line="240"  w:lineRule="auto" />
<w:rPr><w:sz w:val="20"  /><w:szCs w:val="20"  /></w:rPr>
</w:pPr>
<w:r>
<w:rPr>
<w:rFonts w:ascii="Times New Roman"  w:hAnsi="Times New Roman"  w:cs="Times New Roman"  /> 
<w:color w:val="#000000" />
<w:sz w:val="20"  />
<w:szCs w:val="20"  />
</w:rPr>
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
</w:r>
</w:p>
<w:p><w:pPr><w:jc w:val="both"  />
<w:spacing w:after="0" w:line="240"  w:lineRule="auto" />
<w:rPr><w:sz w:val="20"  /><w:szCs w:val="20"  /></w:rPr>
</w:pPr>
<w:r>
<w:rPr>
<w:rFonts w:ascii="Times New Roman"  w:hAnsi="Times New Roman"  w:cs="Times New Roman"  /> 
<w:color w:val="#000000" />
<w:sz w:val="20"  />
<w:szCs w:val="20"  />
</w:rPr>
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
</w:r>
</w:p>
<w:p><w:pPr><w:jc w:val="both"  />
<w:spacing w:after="0" w:line="240"  w:lineRule="auto" />
<w:rPr><w:sz w:val="20"  /><w:szCs w:val="20"  /></w:rPr>
</w:pPr>
<w:r>
<w:rPr>
<w:rFonts w:ascii="Times New Roman"  w:hAnsi="Times New Roman"  w:cs="Times New Roman"  /> 
<w:color w:val="#000000" />
<w:sz w:val="20"  />
<w:szCs w:val="20"  />
</w:rPr>
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
</w:r>
</w:p>
</w:tc>
</w:tr>
<w:tr>
<w:trPr>
<w:trHeight w:hRule="exact" w:val="585.0598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	5.2 Содержание дисциплины</w:t>
</w:r>
</w:p>
</w:tc>
</w:tr>
<w:tr>
<w:trPr>
<w:trHeight w:hRule="exact" w:val="277.8295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Темы лекционных занятий</w:t>
</w:r>
</w:p>
</w:tc>
</w:tr>
<w:tr>
<w:trPr>
<w:trHeight w:hRule="exact" w:val="26.75411"  />
</w:trPr>
<w:tc>
<w:tcPr>
<w:tcW w:w="9654"  w:type="dxa" />
<w:tcBorders>
</w:tcBorders>
<w:vMerge w:val="restart" /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Методология социально-педагогических исследований: проблемы и</w:t>
</w:r>
</w:p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перспективы*</w:t>
</w:r>
</w:p>
</w:tc>
</w:tr>
<w:tr>
<w:trPr>
<w:trHeight w:hRule="exact" w:val="558.3057"  />
</w:trPr>
<w:tc>
<w:tcPr>
<w:tcW w:w="9654"  w:type="dxa" />
<w:tcBorders>
</w:tcBorders>
<w:vMerge />
<w:shd w:val="clear" w:color="#000000" w:fill="#FFFFFF" />
<w:vAlign w:val="top"  />
<w:tcMar><w:left w:w="34"  w:type="dxa"/><w:right w:w="34"  w:type="dxa"/></w:tcMar>
</w:tcPr>
<w:p />
</w:tc>
</w:tr>
<w:tr>
<w:trPr>
<w:trHeight w:hRule="exact" w:val="1907.913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	Основные понятия по теме: методология науки, методология исследований,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методология социально-педагогических исследований, методика исследований. Базисные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элементы творческой мысли. Методологические основы и принципы социальнопедагогических исследований (В.И.Загвязинский, В.В.Краевский, А.Ф.Закирова). Научная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школа В.И. Загвязинского. Актуальные направления научных исследований в физической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культуре и спорте.</w:t>
</w:r>
</w:p>
</w:tc>
</w:tr>
<w:tr>
<w:trPr>
<w:trHeight w:hRule="exact" w:val="585.0607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Специфика научного исследования по проблемам физической культуры и</w:t>
</w:r>
</w:p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спорта*</w:t>
</w:r>
</w:p>
</w:tc>
</w:tr>
<w:tr>
<w:trPr>
<w:trHeight w:hRule="exact" w:val="392.4893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	Специфические особенности научных исследований по проблемам физической</w:t>
</w:r>
</w:p>
</w:tc>
</w:tr>
</w:tbl>
<w:p><w:pPr><w:rPr> <w:sz w:val="0" /><w:szCs w:val="0"/></w:rPr></w:pPr><w:r><w:br w:type="page" /></w:r></w:p>
<w:tbl>
<w:tblPr>
<w:tblW w:w="0" w:type="auto" />
<w:tblCellMar><w:left w:w="0" w:type="dxa"/><w:right w:w="0" w:type="dxa"/></w:tblCellMar>
<w:tblBorders>
<w:top w:val="none" w:sz="0" w:space="0" w:color="auto" />
<w:left w:val="none" w:sz="0" w:space="0" w:color="auto" />
<w:bottom w:val="none" w:sz="0" w:space="0" w:color="auto" />
<w:right w:val="none" w:sz="0" w:space="0" w:color="auto" />
<w:insideH w:val="none" w:sz="0" w:space="0" w:color="auto" />
<w:insideV w:val="none" w:sz="0" w:space="0" w:color="auto" />
</w:tblBorders>
</w:tblPr>
<w:tblGrid>
<w:gridCol w:w="9639"  />
</w:tblGrid>
<w:tr>
<w:trPr>
<w:trHeight w:hRule="exact" w:val="1637.433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культуры и спорта. Естественно-научные и гуманитарные методы научных исследований.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Направления исследований по проблемам физической культуры и спорта: медикобиологические, социально-педагогические, комплексные. Комплексные исследования по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проблемам физической культуры и спорта. Перспективные направления научных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исследований в физической культуре и спорте.</w:t>
</w:r>
</w:p>
</w:tc>
</w:tr>
<w:tr>
<w:trPr>
<w:trHeight w:hRule="exact" w:val="304.584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Методы исследований по проблемам физической культуры и спорта</w:t>
</w:r>
</w:p>
</w:tc>
</w:tr>
<w:tr>
<w:trPr>
<w:trHeight w:hRule="exact" w:val="2448.873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	Процедура исследовательского поиска. План диссертационного исследования.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Теоретические методы исследования (теоретический анализ и синтез, обобщение,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абстрагирование, конкретизация, идеализация, моделирование, прогнозирование,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проектирование). Эмпирические методы исследования (наблюдение, эксперимент, изучение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документов, беседа, опрос, педагогическое тестирование, медико-педагогические измерения,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метод экспертных оценок). Признаки педагогического эксперимента. Линейный,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параллельный, перекрестный эксперимент</w:t>
</w:r>
</w:p>
</w:tc>
</w:tr>
<w:tr>
<w:trPr>
<w:trHeight w:hRule="exact" w:val="304.584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Организация исследований по проблемам физической культуры и спорта</w:t>
</w:r>
</w:p>
</w:tc>
</w:tr>
<w:tr>
<w:trPr>
<w:trHeight w:hRule="exact" w:val="2719.206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	Определение целей и задач эксперимента; обоснование его актуальности; выбор типа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эксперимента (определение групп, предмета и переменных эксперимента); подбор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критериально-измерительного инструментария; выбор и оценка условий проведения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эксперимента; составление общей программы эксперимента; составление программ ведения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занятий в экспериментальных и контрольных группах; составление программ ведения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наблюдений и фиксации результатов; выбор программ математико-статистической обработки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полученных результатов; проверка эффективности эксперимента</w:t>
</w:r>
</w:p>
</w:tc>
</w:tr>
<w:tr>
<w:trPr>
<w:trHeight w:hRule="exact" w:val="304.5836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Гипотеза в исследованиях по проблемам физической культуры и спорта*</w:t>
</w:r>
</w:p>
</w:tc>
</w:tr>
<w:tr>
<w:trPr>
<w:trHeight w:hRule="exact" w:val="2178.393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	Что такое гипотеза? Функции: описательная, объяснительная, прогностическая.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Классификация гипотез: по характеру, по степени зрелости, по содержанию. Языковое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оформление гипотезы. Гипотезирование. Гипотеза, ее виды, способы выдвижения и развития.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Эвристические механизмы рождения гипотезы. Планирование процедуры проверки гипотезы.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Примеры несовершенных гипотез. Рекомендации исследователям при постановке гипотезы</w:t>
</w:r>
</w:p>
</w:tc>
</w:tr>
<w:tr>
<w:trPr>
<w:trHeight w:hRule="exact" w:val="585.0598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Актуальность и понятийно-терминологический аппарат исследований по</w:t>
</w:r>
</w:p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проблемам физической культуры и спорта</w:t>
</w:r>
</w:p>
</w:tc>
</w:tr>
<w:tr>
<w:trPr>
<w:trHeight w:hRule="exact" w:val="3801.125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	Что такое актуальность исследования? Типы и уровни обоснования актуальности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исследования: социально-педагогический, научно-теоретический, практико- методический.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Объективные и субъективные предпосылки выбора темы. Актуальность, перспективность,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12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новизна и проблемность характеристики темы. Исследовательская тема в составе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коллективного и комплексного исследования. Приемы выбора и локализации темы.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Проблема как сущность исследования. Соотношение практических задач и проблемы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исследования. Истоки проблемы. Исходные позиции и концептуальные основы поиска.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Стиль и язык описания актуальности исследования. Типичные ошибки при описании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актуальности исследования. Понятия и термины в научном исследовании. Ключевые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понятия научного исследования. Метафоры в научном исследовании. Рекомендации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исследователям.</w:t>
</w:r>
</w:p>
</w:tc>
</w:tr>
<w:tr>
<w:trPr>
<w:trHeight w:hRule="exact" w:val="314.5812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 Магистерская диссертация как научно-педагогическое исследование</w:t>
</w:r>
</w:p>
</w:tc>
</w:tr>
<w:tr>
<w:trPr>
<w:trHeight w:hRule="exact" w:val="793.3594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	Квалификационные требования к магистерской диссертации. Структура и содержание</w:t>
</w:r>
</w:p>
</w:tc>
</w:tr>
</w:tbl>
<w:p><w:pPr><w:rPr> <w:sz w:val="0" /><w:szCs w:val="0"/></w:rPr></w:pPr><w:r><w:br w:type="page" /></w:r></w:p>
<w:tbl>
<w:tblPr>
<w:tblW w:w="0" w:type="auto" />
<w:tblCellMar><w:left w:w="0" w:type="dxa"/><w:right w:w="0" w:type="dxa"/></w:tblCellMar>
<w:tblBorders>
<w:top w:val="none" w:sz="0" w:space="0" w:color="auto" />
<w:left w:val="none" w:sz="0" w:space="0" w:color="auto" />
<w:bottom w:val="none" w:sz="0" w:space="0" w:color="auto" />
<w:right w:val="none" w:sz="0" w:space="0" w:color="auto" />
<w:insideH w:val="none" w:sz="0" w:space="0" w:color="auto" />
<w:insideV w:val="none" w:sz="0" w:space="0" w:color="auto" />
</w:tblBorders>
</w:tblPr>
<w:tblGrid>
<w:gridCol w:w="9639"  />
</w:tblGrid>
<w:tr>
<w:trPr>
<w:trHeight w:hRule="exact" w:val="1096.473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магистерской диссертации. Определение темы и базы для проведения исследовательской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работы магистранта. Организация исследовательского поиска. План выполнения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магистерской диссертации. Оформление результатов научно-исследовательской работы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магистранта. Процедура защиты диссертации</w:t>
</w:r>
</w:p>
</w:tc>
</w:tr>
<w:tr>
<w:trPr>
<w:trHeight w:hRule="exact" w:val="304.584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Язык и текст магистерской диссертации*</w:t>
</w:r>
</w:p>
</w:tc>
</w:tr>
<w:tr>
<w:trPr>
<w:trHeight w:hRule="exact" w:val="1637.433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	Классификация языков научной теории. Виды названий. Общие грамматические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особенности научного текста. Языковые средства оформления введения. Языковое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оформление гипотезы. Языковое оформление литературного обзора. Оценочные суждения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автора диссертации. Типичные ошибки языкового оформления текста магистерской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диссертации</w:t>
</w:r>
</w:p>
</w:tc>
</w:tr>
<w:tr>
<w:trPr>
<w:trHeight w:hRule="exact" w:val="304.584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 Методы эмпирического исследования</w:t>
</w:r>
</w:p>
</w:tc>
</w:tr>
<w:tr>
<w:trPr>
<w:trHeight w:hRule="exact" w:val="4071.606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	Понятие об основных методах эмпирического педагогического и медикобиологического исследования, условия их корректного использования.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Наблюдение, его виды, способы фиксирования явлений. Наблюдение и возраст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испытуемых. Социологический и социально-педагогический опрос. Анкетирование и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интервьюирование. Требования к вопросам, виды анкет и способы обработки результатов.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Тестирование. Виды тестов. Условия их валидности. Социометрия. Метод полярных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профилей.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Изучение литературы и источников. Виды источников. Контентанализ. Метод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экспертов (рейтинг). Условия и способы проведения социально-педагогической экспертизы.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Метод обобщения независимых характеристик. Психолого-педагогический консилиум.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Логические приемы добывания и обработки фактов на эмпирическом уровне: анализ, синтез,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обобщение и конкретизация.</w:t>
</w:r>
</w:p>
</w:tc>
</w:tr>
<w:tr>
<w:trPr>
<w:trHeight w:hRule="exact" w:val="277.8295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Темы практических занятий</w:t>
</w:r>
</w:p>
</w:tc>
</w:tr>
<w:tr>
<w:trPr>
<w:trHeight w:hRule="exact" w:val="14.7"  />
</w:trPr>
<w:tc>
<w:tcPr>
<w:tcW w:w="9640"  w:type="dxa" />
</w:tcPr>
<w:p />
</w:tc>
</w:tr>
<w:tr>
<w:trPr>
<w:trHeight w:hRule="exact" w:val="585.0598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Специфика научного исследования по проблемам физической культуры и</w:t>
</w:r>
</w:p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спорта*</w:t>
</w:r>
</w:p>
</w:tc>
</w:tr>
<w:tr>
<w:trPr>
<w:trHeight w:hRule="exact" w:val="285.1804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	</w:t>
</w:r>
</w:p>
</w:tc>
</w:tr>
<w:tr>
<w:trPr>
<w:trHeight w:hRule="exact" w:val="14.7"  />
</w:trPr>
<w:tc>
<w:tcPr>
<w:tcW w:w="9640"  w:type="dxa" />
</w:tcPr>
<w:p />
</w:tc>
</w:tr>
<w:tr>
<w:trPr>
<w:trHeight w:hRule="exact" w:val="304.5836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Методы исследований по проблемам физической культуры и спорта</w:t>
</w:r>
</w:p>
</w:tc>
</w:tr>
<w:tr>
<w:trPr>
<w:trHeight w:hRule="exact" w:val="285.1804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	</w:t>
</w:r>
</w:p>
</w:tc>
</w:tr>
<w:tr>
<w:trPr>
<w:trHeight w:hRule="exact" w:val="14.7"  />
</w:trPr>
<w:tc>
<w:tcPr>
<w:tcW w:w="9640"  w:type="dxa" />
</w:tcPr>
<w:p />
</w:tc>
</w:tr>
<w:tr>
<w:trPr>
<w:trHeight w:hRule="exact" w:val="304.5836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Гипотеза в исследованиях по проблемам физической культуры и спорта*</w:t>
</w:r>
</w:p>
</w:tc>
</w:tr>
<w:tr>
<w:trPr>
<w:trHeight w:hRule="exact" w:val="285.1804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	</w:t>
</w:r>
</w:p>
</w:tc>
</w:tr>
<w:tr>
<w:trPr>
<w:trHeight w:hRule="exact" w:val="14.7"  />
</w:trPr>
<w:tc>
<w:tcPr>
<w:tcW w:w="9640"  w:type="dxa" />
</w:tcPr>
<w:p />
</w:tc>
</w:tr>
<w:tr>
<w:trPr>
<w:trHeight w:hRule="exact" w:val="304.5836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 Методы эмпирического исследования</w:t>
</w:r>
</w:p>
</w:tc>
</w:tr>
<w:tr>
<w:trPr>
<w:trHeight w:hRule="exact" w:val="285.1804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	</w:t>
</w:r>
</w:p>
</w:tc>
</w:tr>
<w:tr>
<w:trPr>
<w:trHeight w:hRule="exact" w:val="277.8304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Темы семинарских занятий</w:t>
</w:r>
</w:p>
</w:tc>
</w:tr>
<w:tr>
<w:trPr>
<w:trHeight w:hRule="exact" w:val="147"  />
</w:trPr>
<w:tc>
<w:tcPr>
<w:tcW w:w="9640"  w:type="dxa" />
</w:tcPr>
<w:p />
</w:tc>
</w:tr>
<w:tr>
<w:trPr>
<w:trHeight w:hRule="exact" w:val="314.5804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	Организация исследований по проблемам физической культуры и спорта</w:t>
</w:r>
</w:p>
</w:tc>
</w:tr>
<w:tr>
<w:trPr>
<w:trHeight w:hRule="exact" w:val="21.31518"  />
</w:trPr>
<w:tc>
<w:tcPr>
<w:tcW w:w="9640"  w:type="dxa" />
</w:tcPr>
<w:p />
</w:tc>
</w:tr>
<w:tr>
<w:trPr>
<w:trHeight w:hRule="exact" w:val="277.8304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 />
</w:tc>
</w:tr>
<w:tr>
<w:trPr>
<w:trHeight w:hRule="exact" w:val="8.083923"  />
</w:trPr>
<w:tc>
<w:tcPr>
<w:tcW w:w="9640"  w:type="dxa" />
</w:tcPr>
<w:p />
</w:tc>
</w:tr>
<w:tr>
<w:trPr>
<w:trHeight w:hRule="exact" w:val="585.0598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	Актуальность и понятийно-терминологический аппарат исследований по</w:t>
</w:r>
</w:p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проблемам физической культуры и спорта</w:t>
</w:r>
</w:p>
</w:tc>
</w:tr>
<w:tr>
<w:trPr>
<w:trHeight w:hRule="exact" w:val="21.31518"  />
</w:trPr>
<w:tc>
<w:tcPr>
<w:tcW w:w="9640"  w:type="dxa" />
</w:tcPr>
<w:p />
</w:tc>
</w:tr>
<w:tr>
<w:trPr>
<w:trHeight w:hRule="exact" w:val="277.8304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 />
</w:tc>
</w:tr>
<w:tr>
<w:trPr>
<w:trHeight w:hRule="exact" w:val="8.084821"  />
</w:trPr>
<w:tc>
<w:tcPr>
<w:tcW w:w="9640"  w:type="dxa" />
</w:tcPr>
<w:p />
</w:tc>
</w:tr>
<w:tr>
<w:trPr>
<w:trHeight w:hRule="exact" w:val="314.5804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	 Магистерская диссертация как научно-педагогическое исследование</w:t>
</w:r>
</w:p>
</w:tc>
</w:tr>
<w:tr>
<w:trPr>
<w:trHeight w:hRule="exact" w:val="21.31518"  />
</w:trPr>
<w:tc>
<w:tcPr>
<w:tcW w:w="9640"  w:type="dxa" />
</w:tcPr>
<w:p />
</w:tc>
</w:tr>
<w:tr>
<w:trPr>
<w:trHeight w:hRule="exact" w:val="277.8304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 />
</w:tc>
</w:tr>
<w:tr>
<w:trPr>
<w:trHeight w:hRule="exact" w:val="8.083923"  />
</w:trPr>
<w:tc>
<w:tcPr>
<w:tcW w:w="9640"  w:type="dxa" />
</w:tcPr>
<w:p />
</w:tc>
</w:tr>
<w:tr>
<w:trPr>
<w:trHeight w:hRule="exact" w:val="314.5804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	Язык и текст магистерской диссертации*</w:t>
</w:r>
</w:p>
</w:tc>
</w:tr>
<w:tr>
<w:trPr>
<w:trHeight w:hRule="exact" w:val="21.31518"  />
</w:trPr>
<w:tc>
<w:tcPr>
<w:tcW w:w="9640"  w:type="dxa" />
</w:tcPr>
<w:p />
</w:tc>
</w:tr>
<w:tr>
<w:trPr>
<w:trHeight w:hRule="exact" w:val="277.8304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 />
</w:tc>
</w:tr>
</w:tbl>
<w:p><w:pPr><w:rPr> <w:sz w:val="0" /><w:szCs w:val="0"/></w:rPr></w:pPr><w:r><w:br w:type="page" /></w:r></w:p>
<w:tbl>
<w:tblPr>
<w:tblW w:w="0" w:type="auto" />
<w:tblCellMar><w:left w:w="0" w:type="dxa"/><w:right w:w="0" w:type="dxa"/></w:tblCellMar>
<w:tblBorders>
<w:top w:val="none" w:sz="0" w:space="0" w:color="auto" />
<w:left w:val="none" w:sz="0" w:space="0" w:color="auto" />
<w:bottom w:val="none" w:sz="0" w:space="0" w:color="auto" />
<w:right w:val="none" w:sz="0" w:space="0" w:color="auto" />
<w:insideH w:val="none" w:sz="0" w:space="0" w:color="auto" />
<w:insideV w:val="none" w:sz="0" w:space="0" w:color="auto" />
</w:tblBorders>
</w:tblPr>
<w:tblGrid>
<w:gridCol w:w="9639"  />
</w:tblGrid>
<w:tr>
<w:trPr>
<w:trHeight w:hRule="exact" w:val="855.54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	6. Перечень учебно-методического обеспечения для самостоятельной работы обучающихся по дисциплине</w:t>
</w:r>
</w:p>
</w:tc>
</w:tr>
<w:tr>
<w:trPr>
<w:trHeight w:hRule="exact" w:val="5182.779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1.	Методические указания для обучающихся по освоению дисциплины «Методология и методы педагогического исследования в сфере физической культуры и спорта» / левичев о.ф.. – Омск: Изд-во Омской гуманитарной академии, 2023.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
</w:r>
</w:p>
</w:tc>
</w:tr>
<w:tr>
<w:trPr>
<w:trHeight w:hRule="exact" w:val="138.9147"  />
</w:trPr>
<w:tc>
<w:tcPr>
<w:tcW w:w="9640"  w:type="dxa" />
</w:tcPr>
<w:p />
</w:tc>
</w:tr>
<w:tr>
<w:trPr>
<w:trHeight w:hRule="exact" w:val="855.5402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	7. Перечень основной и дополнительной учебной литературы, необходимой для освоения дисциплины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Основная:</w:t>
</w:r>
</w:p>
</w:tc>
</w:tr>
<w:tr>
<w:trPr>
<w:trHeight w:hRule="exact" w:val="826.1397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both"  />
<w:ind w:firstLine="725.76"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1.</w:t>
</w:r>
<w:r><w:rPr /><w:t xml:space="preserve"> </w:t></w:r>
<w:r>
<w:rPr>
<w:rFonts w:ascii="Times New Roman"  w:hAnsi="Times New Roman"  w:cs="Times New Roman"  /> 
<w:color w:val="#000000" />
<w:sz w:val="24"  />
<w:szCs w:val="24"  />
</w:rPr>
<w:t>Методология</w:t>
</w:r>
<w:r><w:rPr /><w:t xml:space="preserve"> </w:t></w:r>
<w:r>
<w:rPr>
<w:rFonts w:ascii="Times New Roman"  w:hAnsi="Times New Roman"  w:cs="Times New Roman"  /> 
<w:color w:val="#000000" />
<w:sz w:val="24"  />
<w:szCs w:val="24"  />
</w:rPr>
<w:t>педагогического</w:t>
</w:r>
<w:r><w:rPr /><w:t xml:space="preserve"> </w:t></w:r>
<w:r>
<w:rPr>
<w:rFonts w:ascii="Times New Roman"  w:hAnsi="Times New Roman"  w:cs="Times New Roman"  /> 
<w:color w:val="#000000" />
<w:sz w:val="24"  />
<w:szCs w:val="24"  />
</w:rPr>
<w:t>исследования</w:t>
</w:r>
<w:r><w:rPr /><w:t xml:space="preserve"> </w:t></w:r>
<w:r>
<w:rPr>
<w:rFonts w:ascii="Times New Roman"  w:hAnsi="Times New Roman"  w:cs="Times New Roman"  /> 
<w:color w:val="#000000" />
<w:sz w:val="24"  />
<w:szCs w:val="24"  />
</w:rPr>
<w:t>/</w:t>
</w:r>
<w:r><w:rPr /><w:t xml:space="preserve"> </w:t></w:r>
<w:r>
<w:rPr>
<w:rFonts w:ascii="Times New Roman"  w:hAnsi="Times New Roman"  w:cs="Times New Roman"  /> 
<w:color w:val="#000000" />
<w:sz w:val="24"  />
<w:szCs w:val="24"  />
</w:rPr>
<w:t>Образцов</w:t>
</w:r>
<w:r><w:rPr /><w:t xml:space="preserve"> </w:t></w:r>
<w:r>
<w:rPr>
<w:rFonts w:ascii="Times New Roman"  w:hAnsi="Times New Roman"  w:cs="Times New Roman"  /> 
<w:color w:val="#000000" />
<w:sz w:val="24"  />
<w:szCs w:val="24"  />
</w:rPr>
<w:t>П.</w:t>
</w:r>
<w:r><w:rPr /><w:t xml:space="preserve"> </w:t></w:r>
<w:r>
<w:rPr>
<w:rFonts w:ascii="Times New Roman"  w:hAnsi="Times New Roman"  w:cs="Times New Roman"  /> 
<w:color w:val="#000000" />
<w:sz w:val="24"  />
<w:szCs w:val="24"  />
</w:rPr>
<w:t>И..</w:t>
</w:r>
<w:r><w:rPr /><w:t xml:space="preserve"> </w:t></w:r>
<w:r>
<w:rPr>
<w:rFonts w:ascii="Times New Roman"  w:hAnsi="Times New Roman"  w:cs="Times New Roman"  /> 
<w:color w:val="#000000" />
<w:sz w:val="24"  />
<w:szCs w:val="24"  />
</w:rPr>
<w:t>-</w:t>
</w:r>
<w:r><w:rPr /><w:t xml:space="preserve"> </w:t></w:r>
<w:r>
<w:rPr>
<w:rFonts w:ascii="Times New Roman"  w:hAnsi="Times New Roman"  w:cs="Times New Roman"  /> 
<w:color w:val="#000000" />
<w:sz w:val="24"  />
<w:szCs w:val="24"  />
</w:rPr>
<w:t>2-е</w:t>
</w:r>
<w:r><w:rPr /><w:t xml:space="preserve"> </w:t></w:r>
<w:r>
<w:rPr>
<w:rFonts w:ascii="Times New Roman"  w:hAnsi="Times New Roman"  w:cs="Times New Roman"  /> 
<w:color w:val="#000000" />
<w:sz w:val="24"  />
<w:szCs w:val="24"  />
</w:rPr>
<w:t>изд.</w:t>
</w:r>
<w:r><w:rPr /><w:t xml:space="preserve"> </w:t></w:r>
<w:r>
<w:rPr>
<w:rFonts w:ascii="Times New Roman"  w:hAnsi="Times New Roman"  w:cs="Times New Roman"  /> 
<w:color w:val="#000000" />
<w:sz w:val="24"  />
<w:szCs w:val="24"  />
</w:rPr>
<w:t>-</w:t>
</w:r>
<w:r><w:rPr /><w:t xml:space="preserve"> </w:t></w:r>
<w:r>
<w:rPr>
<w:rFonts w:ascii="Times New Roman"  w:hAnsi="Times New Roman"  w:cs="Times New Roman"  /> 
<w:color w:val="#000000" />
<w:sz w:val="24"  />
<w:szCs w:val="24"  />
</w:rPr>
<w:t>Москва:</w:t>
</w:r>
<w:r><w:rPr /><w:t xml:space="preserve"> </w:t></w:r>
<w:r>
<w:rPr>
<w:rFonts w:ascii="Times New Roman"  w:hAnsi="Times New Roman"  w:cs="Times New Roman"  /> 
<w:color w:val="#000000" />
<w:sz w:val="24"  />
<w:szCs w:val="24"  />
</w:rPr>
<w:t>Юрайт,</w:t>
</w:r>
<w:r><w:rPr /><w:t xml:space="preserve"> </w:t></w:r>
<w:r>
<w:rPr>
<w:rFonts w:ascii="Times New Roman"  w:hAnsi="Times New Roman"  w:cs="Times New Roman"  /> 
<w:color w:val="#000000" />
<w:sz w:val="24"  />
<w:szCs w:val="24"  />
</w:rPr>
<w:t>2018.</w:t>
</w:r>
<w:r><w:rPr /><w:t xml:space="preserve"> </w:t></w:r>
<w:r>
<w:rPr>
<w:rFonts w:ascii="Times New Roman"  w:hAnsi="Times New Roman"  w:cs="Times New Roman"  /> 
<w:color w:val="#000000" />
<w:sz w:val="24"  />
<w:szCs w:val="24"  />
</w:rPr>
<w:t>-</w:t>
</w:r>
<w:r><w:rPr /><w:t xml:space="preserve"> </w:t></w:r>
<w:r>
<w:rPr>
<w:rFonts w:ascii="Times New Roman"  w:hAnsi="Times New Roman"  w:cs="Times New Roman"  /> 
<w:color w:val="#000000" />
<w:sz w:val="24"  />
<w:szCs w:val="24"  />
</w:rPr>
<w:t>132</w:t>
</w:r>
<w:r><w:rPr /><w:t xml:space="preserve"> </w:t></w:r>
<w:r>
<w:rPr>
<w:rFonts w:ascii="Times New Roman"  w:hAnsi="Times New Roman"  w:cs="Times New Roman"  /> 
<w:color w:val="#000000" />
<w:sz w:val="24"  />
<w:szCs w:val="24"  />
</w:rPr>
<w:t>с</w:t>
</w:r>
<w:r><w:rPr /><w:t xml:space="preserve"> </w:t></w:r>
<w:r>
<w:rPr>
<w:rFonts w:ascii="Times New Roman"  w:hAnsi="Times New Roman"  w:cs="Times New Roman"  /> 
<w:color w:val="#000000" />
<w:sz w:val="24"  />
<w:szCs w:val="24"  />
</w:rPr>
<w:t>.</w:t>
</w:r>
<w:r><w:rPr /><w:t xml:space="preserve"> </w:t></w:r>
<w:r>
<w:rPr>
<w:rFonts w:ascii="Times New Roman"  w:hAnsi="Times New Roman"  w:cs="Times New Roman"  /> 
<w:color w:val="#000000" />
<w:sz w:val="24"  />
<w:szCs w:val="24"  />
</w:rPr>
<w:t>-</w:t>
</w:r>
<w:r><w:rPr /><w:t xml:space="preserve"> </w:t></w:r>
<w:r>
<w:rPr>
<w:rFonts w:ascii="Times New Roman"  w:hAnsi="Times New Roman"  w:cs="Times New Roman"  /> 
<w:color w:val="#000000" />
<w:sz w:val="24"  />
<w:szCs w:val="24"  />
</w:rPr>
<w:t> ISBN:</w:t>
</w:r>
<w:r><w:rPr /><w:t xml:space="preserve"> </w:t></w:r>
<w:r>
<w:rPr>
<w:rFonts w:ascii="Times New Roman"  w:hAnsi="Times New Roman"  w:cs="Times New Roman"  /> 
<w:color w:val="#000000" />
<w:sz w:val="24"  />
<w:szCs w:val="24"  />
</w:rPr>
<w:t>978-5-534-03541-4.</w:t>
</w:r>
<w:r><w:rPr /><w:t xml:space="preserve"> </w:t></w:r>
<w:r>
<w:rPr>
<w:rFonts w:ascii="Times New Roman"  w:hAnsi="Times New Roman"  w:cs="Times New Roman"  /> 
<w:color w:val="#000000" />
<w:sz w:val="24"  />
<w:szCs w:val="24"  />
</w:rPr>
<w:t>-</w:t>
</w:r>
<w:r><w:rPr /><w:t xml:space="preserve"> </w:t></w:r>
<w:r>
<w:rPr>
<w:rFonts w:ascii="Times New Roman"  w:hAnsi="Times New Roman"  w:cs="Times New Roman"  /> 
<w:color w:val="#000000" />
<w:sz w:val="24"  />
<w:szCs w:val="24"  />
</w:rPr>
<w:t>URL:</w:t>
</w:r>
<w:r><w:rPr /><w:t xml:space="preserve"> </w:t></w:r>
<w:r>
<w:rPr>
<w:rFonts w:ascii="Times New Roman"  w:hAnsi="Times New Roman"  w:cs="Times New Roman"  /> 
<w:color w:val="#000000" />
<w:sz w:val="24"  />
<w:szCs w:val="24"  />
</w:rPr>
<w:t>https://urait.ru/bcode/415446</w:t>
</w:r>
<w:r><w:rPr /><w:t xml:space="preserve"> </w:t></w:r>
</w:p>
</w:tc>
</w:tr>
<w:tr>
<w:trPr>
<w:trHeight w:hRule="exact" w:val="826.1402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both"  />
<w:ind w:firstLine="725.76"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2.</w:t>
</w:r>
<w:r><w:rPr /><w:t xml:space="preserve"> </w:t></w:r>
<w:r>
<w:rPr>
<w:rFonts w:ascii="Times New Roman"  w:hAnsi="Times New Roman"  w:cs="Times New Roman"  /> 
<w:color w:val="#000000" />
<w:sz w:val="24"  />
<w:szCs w:val="24"  />
</w:rPr>
<w:t>Методология</w:t>
</w:r>
<w:r><w:rPr /><w:t xml:space="preserve"> </w:t></w:r>
<w:r>
<w:rPr>
<w:rFonts w:ascii="Times New Roman"  w:hAnsi="Times New Roman"  w:cs="Times New Roman"  /> 
<w:color w:val="#000000" />
<w:sz w:val="24"  />
<w:szCs w:val="24"  />
</w:rPr>
<w:t>педагогического</w:t>
</w:r>
<w:r><w:rPr /><w:t xml:space="preserve"> </w:t></w:r>
<w:r>
<w:rPr>
<w:rFonts w:ascii="Times New Roman"  w:hAnsi="Times New Roman"  w:cs="Times New Roman"  /> 
<w:color w:val="#000000" />
<w:sz w:val="24"  />
<w:szCs w:val="24"  />
</w:rPr>
<w:t>исследования</w:t>
</w:r>
<w:r><w:rPr /><w:t xml:space="preserve"> </w:t></w:r>
<w:r>
<w:rPr>
<w:rFonts w:ascii="Times New Roman"  w:hAnsi="Times New Roman"  w:cs="Times New Roman"  /> 
<w:color w:val="#000000" />
<w:sz w:val="24"  />
<w:szCs w:val="24"  />
</w:rPr>
<w:t>/</w:t>
</w:r>
<w:r><w:rPr /><w:t xml:space="preserve"> </w:t></w:r>
<w:r>
<w:rPr>
<w:rFonts w:ascii="Times New Roman"  w:hAnsi="Times New Roman"  w:cs="Times New Roman"  /> 
<w:color w:val="#000000" />
<w:sz w:val="24"  />
<w:szCs w:val="24"  />
</w:rPr>
<w:t>Старикова</w:t>
</w:r>
<w:r><w:rPr /><w:t xml:space="preserve"> </w:t></w:r>
<w:r>
<w:rPr>
<w:rFonts w:ascii="Times New Roman"  w:hAnsi="Times New Roman"  w:cs="Times New Roman"  /> 
<w:color w:val="#000000" />
<w:sz w:val="24"  />
<w:szCs w:val="24"  />
</w:rPr>
<w:t>Л.</w:t>
</w:r>
<w:r><w:rPr /><w:t xml:space="preserve"> </w:t></w:r>
<w:r>
<w:rPr>
<w:rFonts w:ascii="Times New Roman"  w:hAnsi="Times New Roman"  w:cs="Times New Roman"  /> 
<w:color w:val="#000000" />
<w:sz w:val="24"  />
<w:szCs w:val="24"  />
</w:rPr>
<w:t>Д.,</w:t>
</w:r>
<w:r><w:rPr /><w:t xml:space="preserve"> </w:t></w:r>
<w:r>
<w:rPr>
<w:rFonts w:ascii="Times New Roman"  w:hAnsi="Times New Roman"  w:cs="Times New Roman"  /> 
<w:color w:val="#000000" />
<w:sz w:val="24"  />
<w:szCs w:val="24"  />
</w:rPr>
<w:t>Стариков</w:t>
</w:r>
<w:r><w:rPr /><w:t xml:space="preserve"> </w:t></w:r>
<w:r>
<w:rPr>
<w:rFonts w:ascii="Times New Roman"  w:hAnsi="Times New Roman"  w:cs="Times New Roman"  /> 
<w:color w:val="#000000" />
<w:sz w:val="24"  />
<w:szCs w:val="24"  />
</w:rPr>
<w:t>С.</w:t>
</w:r>
<w:r><w:rPr /><w:t xml:space="preserve"> </w:t></w:r>
<w:r>
<w:rPr>
<w:rFonts w:ascii="Times New Roman"  w:hAnsi="Times New Roman"  w:cs="Times New Roman"  /> 
<w:color w:val="#000000" />
<w:sz w:val="24"  />
<w:szCs w:val="24"  />
</w:rPr>
<w:t>А..</w:t>
</w:r>
<w:r><w:rPr /><w:t xml:space="preserve"> </w:t></w:r>
<w:r>
<w:rPr>
<w:rFonts w:ascii="Times New Roman"  w:hAnsi="Times New Roman"  w:cs="Times New Roman"  /> 
<w:color w:val="#000000" />
<w:sz w:val="24"  />
<w:szCs w:val="24"  />
</w:rPr>
<w:t>-</w:t>
</w:r>
<w:r><w:rPr /><w:t xml:space="preserve"> </w:t></w:r>
<w:r>
<w:rPr>
<w:rFonts w:ascii="Times New Roman"  w:hAnsi="Times New Roman"  w:cs="Times New Roman"  /> 
<w:color w:val="#000000" />
<w:sz w:val="24"  />
<w:szCs w:val="24"  />
</w:rPr>
<w:t>2-е</w:t>
</w:r>
<w:r><w:rPr /><w:t xml:space="preserve"> </w:t></w:r>
<w:r>
<w:rPr>
<w:rFonts w:ascii="Times New Roman"  w:hAnsi="Times New Roman"  w:cs="Times New Roman"  /> 
<w:color w:val="#000000" />
<w:sz w:val="24"  />
<w:szCs w:val="24"  />
</w:rPr>
<w:t>изд.</w:t>
</w:r>
<w:r><w:rPr /><w:t xml:space="preserve"> </w:t></w:r>
<w:r>
<w:rPr>
<w:rFonts w:ascii="Times New Roman"  w:hAnsi="Times New Roman"  w:cs="Times New Roman"  /> 
<w:color w:val="#000000" />
<w:sz w:val="24"  />
<w:szCs w:val="24"  />
</w:rPr>
<w:t>-</w:t>
</w:r>
<w:r><w:rPr /><w:t xml:space="preserve"> </w:t></w:r>
<w:r>
<w:rPr>
<w:rFonts w:ascii="Times New Roman"  w:hAnsi="Times New Roman"  w:cs="Times New Roman"  /> 
<w:color w:val="#000000" />
<w:sz w:val="24"  />
<w:szCs w:val="24"  />
</w:rPr>
<w:t>Москва:</w:t>
</w:r>
<w:r><w:rPr /><w:t xml:space="preserve"> </w:t></w:r>
<w:r>
<w:rPr>
<w:rFonts w:ascii="Times New Roman"  w:hAnsi="Times New Roman"  w:cs="Times New Roman"  /> 
<w:color w:val="#000000" />
<w:sz w:val="24"  />
<w:szCs w:val="24"  />
</w:rPr>
<w:t>Юрайт,</w:t>
</w:r>
<w:r><w:rPr /><w:t xml:space="preserve"> </w:t></w:r>
<w:r>
<w:rPr>
<w:rFonts w:ascii="Times New Roman"  w:hAnsi="Times New Roman"  w:cs="Times New Roman"  /> 
<w:color w:val="#000000" />
<w:sz w:val="24"  />
<w:szCs w:val="24"  />
</w:rPr>
<w:t>2019.</w:t>
</w:r>
<w:r><w:rPr /><w:t xml:space="preserve"> </w:t></w:r>
<w:r>
<w:rPr>
<w:rFonts w:ascii="Times New Roman"  w:hAnsi="Times New Roman"  w:cs="Times New Roman"  /> 
<w:color w:val="#000000" />
<w:sz w:val="24"  />
<w:szCs w:val="24"  />
</w:rPr>
<w:t>-</w:t>
</w:r>
<w:r><w:rPr /><w:t xml:space="preserve"> </w:t></w:r>
<w:r>
<w:rPr>
<w:rFonts w:ascii="Times New Roman"  w:hAnsi="Times New Roman"  w:cs="Times New Roman"  /> 
<w:color w:val="#000000" />
<w:sz w:val="24"  />
<w:szCs w:val="24"  />
</w:rPr>
<w:t>287</w:t>
</w:r>
<w:r><w:rPr /><w:t xml:space="preserve"> </w:t></w:r>
<w:r>
<w:rPr>
<w:rFonts w:ascii="Times New Roman"  w:hAnsi="Times New Roman"  w:cs="Times New Roman"  /> 
<w:color w:val="#000000" />
<w:sz w:val="24"  />
<w:szCs w:val="24"  />
</w:rPr>
<w:t>с</w:t>
</w:r>
<w:r><w:rPr /><w:t xml:space="preserve"> </w:t></w:r>
<w:r>
<w:rPr>
<w:rFonts w:ascii="Times New Roman"  w:hAnsi="Times New Roman"  w:cs="Times New Roman"  /> 
<w:color w:val="#000000" />
<w:sz w:val="24"  />
<w:szCs w:val="24"  />
</w:rPr>
<w:t>.</w:t>
</w:r>
<w:r><w:rPr /><w:t xml:space="preserve"> </w:t></w:r>
<w:r>
<w:rPr>
<w:rFonts w:ascii="Times New Roman"  w:hAnsi="Times New Roman"  w:cs="Times New Roman"  /> 
<w:color w:val="#000000" />
<w:sz w:val="24"  />
<w:szCs w:val="24"  />
</w:rPr>
<w:t>-</w:t>
</w:r>
<w:r><w:rPr /><w:t xml:space="preserve"> </w:t></w:r>
<w:r>
<w:rPr>
<w:rFonts w:ascii="Times New Roman"  w:hAnsi="Times New Roman"  w:cs="Times New Roman"  /> 
<w:color w:val="#000000" />
<w:sz w:val="24"  />
<w:szCs w:val="24"  />
</w:rPr>
<w:t> ISBN:</w:t>
</w:r>
<w:r><w:rPr /><w:t xml:space="preserve"> </w:t></w:r>
<w:r>
<w:rPr>
<w:rFonts w:ascii="Times New Roman"  w:hAnsi="Times New Roman"  w:cs="Times New Roman"  /> 
<w:color w:val="#000000" />
<w:sz w:val="24"  />
<w:szCs w:val="24"  />
</w:rPr>
<w:t>978-5-534-06813-9.</w:t>
</w:r>
<w:r><w:rPr /><w:t xml:space="preserve"> </w:t></w:r>
<w:r>
<w:rPr>
<w:rFonts w:ascii="Times New Roman"  w:hAnsi="Times New Roman"  w:cs="Times New Roman"  /> 
<w:color w:val="#000000" />
<w:sz w:val="24"  />
<w:szCs w:val="24"  />
</w:rPr>
<w:t>-</w:t>
</w:r>
<w:r><w:rPr /><w:t xml:space="preserve"> </w:t></w:r>
<w:r>
<w:rPr>
<w:rFonts w:ascii="Times New Roman"  w:hAnsi="Times New Roman"  w:cs="Times New Roman"  /> 
<w:color w:val="#000000" />
<w:sz w:val="24"  />
<w:szCs w:val="24"  />
</w:rPr>
<w:t>URL:</w:t>
</w:r>
<w:r><w:rPr /><w:t xml:space="preserve"> </w:t></w:r>
<w:r>
<w:rPr>
<w:rFonts w:ascii="Times New Roman"  w:hAnsi="Times New Roman"  w:cs="Times New Roman"  /> 
<w:color w:val="#000000" />
<w:sz w:val="24"  />
<w:szCs w:val="24"  />
</w:rPr>
<w:t>https://urait.ru/bcode/434155</w:t>
</w:r>
<w:r><w:rPr /><w:t xml:space="preserve"> </w:t></w:r>
</w:p>
</w:tc>
</w:tr>
<w:tr>
<w:trPr>
<w:trHeight w:hRule="exact" w:val="826.1402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both"  />
<w:ind w:firstLine="725.76"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3.</w:t>
</w:r>
<w:r><w:rPr /><w:t xml:space="preserve"> </w:t></w:r>
<w:r>
<w:rPr>
<w:rFonts w:ascii="Times New Roman"  w:hAnsi="Times New Roman"  w:cs="Times New Roman"  /> 
<w:color w:val="#000000" />
<w:sz w:val="24"  />
<w:szCs w:val="24"  />
</w:rPr>
<w:t>Методология</w:t>
</w:r>
<w:r><w:rPr /><w:t xml:space="preserve"> </w:t></w:r>
<w:r>
<w:rPr>
<w:rFonts w:ascii="Times New Roman"  w:hAnsi="Times New Roman"  w:cs="Times New Roman"  /> 
<w:color w:val="#000000" />
<w:sz w:val="24"  />
<w:szCs w:val="24"  />
</w:rPr>
<w:t>педагогического</w:t>
</w:r>
<w:r><w:rPr /><w:t xml:space="preserve"> </w:t></w:r>
<w:r>
<w:rPr>
<w:rFonts w:ascii="Times New Roman"  w:hAnsi="Times New Roman"  w:cs="Times New Roman"  /> 
<w:color w:val="#000000" />
<w:sz w:val="24"  />
<w:szCs w:val="24"  />
</w:rPr>
<w:t>исследования</w:t>
</w:r>
<w:r><w:rPr /><w:t xml:space="preserve"> </w:t></w:r>
<w:r>
<w:rPr>
<w:rFonts w:ascii="Times New Roman"  w:hAnsi="Times New Roman"  w:cs="Times New Roman"  /> 
<w:color w:val="#000000" />
<w:sz w:val="24"  />
<w:szCs w:val="24"  />
</w:rPr>
<w:t>/</w:t>
</w:r>
<w:r><w:rPr /><w:t xml:space="preserve"> </w:t></w:r>
<w:r>
<w:rPr>
<w:rFonts w:ascii="Times New Roman"  w:hAnsi="Times New Roman"  w:cs="Times New Roman"  /> 
<w:color w:val="#000000" />
<w:sz w:val="24"  />
<w:szCs w:val="24"  />
</w:rPr>
<w:t>Загвязинский</w:t>
</w:r>
<w:r><w:rPr /><w:t xml:space="preserve"> </w:t></w:r>
<w:r>
<w:rPr>
<w:rFonts w:ascii="Times New Roman"  w:hAnsi="Times New Roman"  w:cs="Times New Roman"  /> 
<w:color w:val="#000000" />
<w:sz w:val="24"  />
<w:szCs w:val="24"  />
</w:rPr>
<w:t>В.</w:t>
</w:r>
<w:r><w:rPr /><w:t xml:space="preserve"> </w:t></w:r>
<w:r>
<w:rPr>
<w:rFonts w:ascii="Times New Roman"  w:hAnsi="Times New Roman"  w:cs="Times New Roman"  /> 
<w:color w:val="#000000" />
<w:sz w:val="24"  />
<w:szCs w:val="24"  />
</w:rPr>
<w:t>И..</w:t>
</w:r>
<w:r><w:rPr /><w:t xml:space="preserve"> </w:t></w:r>
<w:r>
<w:rPr>
<w:rFonts w:ascii="Times New Roman"  w:hAnsi="Times New Roman"  w:cs="Times New Roman"  /> 
<w:color w:val="#000000" />
<w:sz w:val="24"  />
<w:szCs w:val="24"  />
</w:rPr>
<w:t>-</w:t>
</w:r>
<w:r><w:rPr /><w:t xml:space="preserve"> </w:t></w:r>
<w:r>
<w:rPr>
<w:rFonts w:ascii="Times New Roman"  w:hAnsi="Times New Roman"  w:cs="Times New Roman"  /> 
<w:color w:val="#000000" />
<w:sz w:val="24"  />
<w:szCs w:val="24"  />
</w:rPr>
<w:t>2-е</w:t>
</w:r>
<w:r><w:rPr /><w:t xml:space="preserve"> </w:t></w:r>
<w:r>
<w:rPr>
<w:rFonts w:ascii="Times New Roman"  w:hAnsi="Times New Roman"  w:cs="Times New Roman"  /> 
<w:color w:val="#000000" />
<w:sz w:val="24"  />
<w:szCs w:val="24"  />
</w:rPr>
<w:t>изд.</w:t>
</w:r>
<w:r><w:rPr /><w:t xml:space="preserve"> </w:t></w:r>
<w:r>
<w:rPr>
<w:rFonts w:ascii="Times New Roman"  w:hAnsi="Times New Roman"  w:cs="Times New Roman"  /> 
<w:color w:val="#000000" />
<w:sz w:val="24"  />
<w:szCs w:val="24"  />
</w:rPr>
<w:t>-</w:t>
</w:r>
<w:r><w:rPr /><w:t xml:space="preserve"> </w:t></w:r>
<w:r>
<w:rPr>
<w:rFonts w:ascii="Times New Roman"  w:hAnsi="Times New Roman"  w:cs="Times New Roman"  /> 
<w:color w:val="#000000" />
<w:sz w:val="24"  />
<w:szCs w:val="24"  />
</w:rPr>
<w:t>Москва:</w:t>
</w:r>
<w:r><w:rPr /><w:t xml:space="preserve"> </w:t></w:r>
<w:r>
<w:rPr>
<w:rFonts w:ascii="Times New Roman"  w:hAnsi="Times New Roman"  w:cs="Times New Roman"  /> 
<w:color w:val="#000000" />
<w:sz w:val="24"  />
<w:szCs w:val="24"  />
</w:rPr>
<w:t>Юрайт,</w:t>
</w:r>
<w:r><w:rPr /><w:t xml:space="preserve"> </w:t></w:r>
<w:r>
<w:rPr>
<w:rFonts w:ascii="Times New Roman"  w:hAnsi="Times New Roman"  w:cs="Times New Roman"  /> 
<w:color w:val="#000000" />
<w:sz w:val="24"  />
<w:szCs w:val="24"  />
</w:rPr>
<w:t>2019.</w:t>
</w:r>
<w:r><w:rPr /><w:t xml:space="preserve"> </w:t></w:r>
<w:r>
<w:rPr>
<w:rFonts w:ascii="Times New Roman"  w:hAnsi="Times New Roman"  w:cs="Times New Roman"  /> 
<w:color w:val="#000000" />
<w:sz w:val="24"  />
<w:szCs w:val="24"  />
</w:rPr>
<w:t>-</w:t>
</w:r>
<w:r><w:rPr /><w:t xml:space="preserve"> </w:t></w:r>
<w:r>
<w:rPr>
<w:rFonts w:ascii="Times New Roman"  w:hAnsi="Times New Roman"  w:cs="Times New Roman"  /> 
<w:color w:val="#000000" />
<w:sz w:val="24"  />
<w:szCs w:val="24"  />
</w:rPr>
<w:t>105</w:t>
</w:r>
<w:r><w:rPr /><w:t xml:space="preserve"> </w:t></w:r>
<w:r>
<w:rPr>
<w:rFonts w:ascii="Times New Roman"  w:hAnsi="Times New Roman"  w:cs="Times New Roman"  /> 
<w:color w:val="#000000" />
<w:sz w:val="24"  />
<w:szCs w:val="24"  />
</w:rPr>
<w:t>с</w:t>
</w:r>
<w:r><w:rPr /><w:t xml:space="preserve"> </w:t></w:r>
<w:r>
<w:rPr>
<w:rFonts w:ascii="Times New Roman"  w:hAnsi="Times New Roman"  w:cs="Times New Roman"  /> 
<w:color w:val="#000000" />
<w:sz w:val="24"  />
<w:szCs w:val="24"  />
</w:rPr>
<w:t>.</w:t>
</w:r>
<w:r><w:rPr /><w:t xml:space="preserve"> </w:t></w:r>
<w:r>
<w:rPr>
<w:rFonts w:ascii="Times New Roman"  w:hAnsi="Times New Roman"  w:cs="Times New Roman"  /> 
<w:color w:val="#000000" />
<w:sz w:val="24"  />
<w:szCs w:val="24"  />
</w:rPr>
<w:t>-</w:t>
</w:r>
<w:r><w:rPr /><w:t xml:space="preserve"> </w:t></w:r>
<w:r>
<w:rPr>
<w:rFonts w:ascii="Times New Roman"  w:hAnsi="Times New Roman"  w:cs="Times New Roman"  /> 
<w:color w:val="#000000" />
<w:sz w:val="24"  />
<w:szCs w:val="24"  />
</w:rPr>
<w:t> ISBN:</w:t>
</w:r>
<w:r><w:rPr /><w:t xml:space="preserve"> </w:t></w:r>
<w:r>
<w:rPr>
<w:rFonts w:ascii="Times New Roman"  w:hAnsi="Times New Roman"  w:cs="Times New Roman"  /> 
<w:color w:val="#000000" />
<w:sz w:val="24"  />
<w:szCs w:val="24"  />
</w:rPr>
<w:t>978-5-534-07865-7.</w:t>
</w:r>
<w:r><w:rPr /><w:t xml:space="preserve"> </w:t></w:r>
<w:r>
<w:rPr>
<w:rFonts w:ascii="Times New Roman"  w:hAnsi="Times New Roman"  w:cs="Times New Roman"  /> 
<w:color w:val="#000000" />
<w:sz w:val="24"  />
<w:szCs w:val="24"  />
</w:rPr>
<w:t>-</w:t>
</w:r>
<w:r><w:rPr /><w:t xml:space="preserve"> </w:t></w:r>
<w:r>
<w:rPr>
<w:rFonts w:ascii="Times New Roman"  w:hAnsi="Times New Roman"  w:cs="Times New Roman"  /> 
<w:color w:val="#000000" />
<w:sz w:val="24"  />
<w:szCs w:val="24"  />
</w:rPr>
<w:t>URL:</w:t>
</w:r>
<w:r><w:rPr /><w:t xml:space="preserve"> </w:t></w:r>
<w:r>
<w:rPr>
<w:rFonts w:ascii="Times New Roman"  w:hAnsi="Times New Roman"  w:cs="Times New Roman"  /> 
<w:color w:val="#000000" />
<w:sz w:val="24"  />
<w:szCs w:val="24"  />
</w:rPr>
<w:t>https://urait.ru/bcode/437925</w:t>
</w:r>
<w:r><w:rPr /><w:t xml:space="preserve"> </w:t></w:r>
</w:p>
</w:tc>
</w:tr>
<w:tr>
<w:trPr>
<w:trHeight w:hRule="exact" w:val="826.1402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both"  />
<w:ind w:firstLine="725.76"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4.</w:t>
</w:r>
<w:r><w:rPr /><w:t xml:space="preserve"> </w:t></w:r>
<w:r>
<w:rPr>
<w:rFonts w:ascii="Times New Roman"  w:hAnsi="Times New Roman"  w:cs="Times New Roman"  /> 
<w:color w:val="#000000" />
<w:sz w:val="24"  />
<w:szCs w:val="24"  />
</w:rPr>
<w:t>Методология</w:t>
</w:r>
<w:r><w:rPr /><w:t xml:space="preserve"> </w:t></w:r>
<w:r>
<w:rPr>
<w:rFonts w:ascii="Times New Roman"  w:hAnsi="Times New Roman"  w:cs="Times New Roman"  /> 
<w:color w:val="#000000" />
<w:sz w:val="24"  />
<w:szCs w:val="24"  />
</w:rPr>
<w:t>педагогического</w:t>
</w:r>
<w:r><w:rPr /><w:t xml:space="preserve"> </w:t></w:r>
<w:r>
<w:rPr>
<w:rFonts w:ascii="Times New Roman"  w:hAnsi="Times New Roman"  w:cs="Times New Roman"  /> 
<w:color w:val="#000000" />
<w:sz w:val="24"  />
<w:szCs w:val="24"  />
</w:rPr>
<w:t>исследования</w:t>
</w:r>
<w:r><w:rPr /><w:t xml:space="preserve"> </w:t></w:r>
<w:r>
<w:rPr>
<w:rFonts w:ascii="Times New Roman"  w:hAnsi="Times New Roman"  w:cs="Times New Roman"  /> 
<w:color w:val="#000000" />
<w:sz w:val="24"  />
<w:szCs w:val="24"  />
</w:rPr>
<w:t>/</w:t>
</w:r>
<w:r><w:rPr /><w:t xml:space="preserve"> </w:t></w:r>
<w:r>
<w:rPr>
<w:rFonts w:ascii="Times New Roman"  w:hAnsi="Times New Roman"  w:cs="Times New Roman"  /> 
<w:color w:val="#000000" />
<w:sz w:val="24"  />
<w:szCs w:val="24"  />
</w:rPr>
<w:t>Колосова</w:t>
</w:r>
<w:r><w:rPr /><w:t xml:space="preserve"> </w:t></w:r>
<w:r>
<w:rPr>
<w:rFonts w:ascii="Times New Roman"  w:hAnsi="Times New Roman"  w:cs="Times New Roman"  /> 
<w:color w:val="#000000" />
<w:sz w:val="24"  />
<w:szCs w:val="24"  />
</w:rPr>
<w:t>Н.</w:t>
</w:r>
<w:r><w:rPr /><w:t xml:space="preserve"> </w:t></w:r>
<w:r>
<w:rPr>
<w:rFonts w:ascii="Times New Roman"  w:hAnsi="Times New Roman"  w:cs="Times New Roman"  /> 
<w:color w:val="#000000" />
<w:sz w:val="24"  />
<w:szCs w:val="24"  />
</w:rPr>
<w:t>В..</w:t>
</w:r>
<w:r><w:rPr /><w:t xml:space="preserve"> </w:t></w:r>
<w:r>
<w:rPr>
<w:rFonts w:ascii="Times New Roman"  w:hAnsi="Times New Roman"  w:cs="Times New Roman"  /> 
<w:color w:val="#000000" />
<w:sz w:val="24"  />
<w:szCs w:val="24"  />
</w:rPr>
<w:t>-</w:t>
</w:r>
<w:r><w:rPr /><w:t xml:space="preserve"> </w:t></w:r>
<w:r>
<w:rPr>
<w:rFonts w:ascii="Times New Roman"  w:hAnsi="Times New Roman"  w:cs="Times New Roman"  /> 
<w:color w:val="#000000" />
<w:sz w:val="24"  />
<w:szCs w:val="24"  />
</w:rPr>
<w:t> Ставрополь:</w:t>
</w:r>
<w:r><w:rPr /><w:t xml:space="preserve"> </w:t></w:r>
<w:r>
<w:rPr>
<w:rFonts w:ascii="Times New Roman"  w:hAnsi="Times New Roman"  w:cs="Times New Roman"  /> 
<w:color w:val="#000000" />
<w:sz w:val="24"  />
<w:szCs w:val="24"  />
</w:rPr>
<w:t>Северо-Кавказский</w:t>
</w:r>
<w:r><w:rPr /><w:t xml:space="preserve"> </w:t></w:r>
<w:r>
<w:rPr>
<w:rFonts w:ascii="Times New Roman"  w:hAnsi="Times New Roman"  w:cs="Times New Roman"  /> 
<w:color w:val="#000000" />
<w:sz w:val="24"  />
<w:szCs w:val="24"  />
</w:rPr>
<w:t>федеральный</w:t>
</w:r>
<w:r><w:rPr /><w:t xml:space="preserve"> </w:t></w:r>
<w:r>
<w:rPr>
<w:rFonts w:ascii="Times New Roman"  w:hAnsi="Times New Roman"  w:cs="Times New Roman"  /> 
<w:color w:val="#000000" />
<w:sz w:val="24"  />
<w:szCs w:val="24"  />
</w:rPr>
<w:t>университет,</w:t>
</w:r>
<w:r><w:rPr /><w:t xml:space="preserve"> </w:t></w:r>
<w:r>
<w:rPr>
<w:rFonts w:ascii="Times New Roman"  w:hAnsi="Times New Roman"  w:cs="Times New Roman"  /> 
<w:color w:val="#000000" />
<w:sz w:val="24"  />
<w:szCs w:val="24"  />
</w:rPr>
<w:t>2017.</w:t>
</w:r>
<w:r><w:rPr /><w:t xml:space="preserve"> </w:t></w:r>
<w:r>
<w:rPr>
<w:rFonts w:ascii="Times New Roman"  w:hAnsi="Times New Roman"  w:cs="Times New Roman"  /> 
<w:color w:val="#000000" />
<w:sz w:val="24"  />
<w:szCs w:val="24"  />
</w:rPr>
<w:t>-</w:t>
</w:r>
<w:r><w:rPr /><w:t xml:space="preserve"> </w:t></w:r>
<w:r>
<w:rPr>
<w:rFonts w:ascii="Times New Roman"  w:hAnsi="Times New Roman"  w:cs="Times New Roman"  /> 
<w:color w:val="#000000" />
<w:sz w:val="24"  />
<w:szCs w:val="24"  />
</w:rPr>
<w:t>102</w:t>
</w:r>
<w:r><w:rPr /><w:t xml:space="preserve"> </w:t></w:r>
<w:r>
<w:rPr>
<w:rFonts w:ascii="Times New Roman"  w:hAnsi="Times New Roman"  w:cs="Times New Roman"  /> 
<w:color w:val="#000000" />
<w:sz w:val="24"  />
<w:szCs w:val="24"  />
</w:rPr>
<w:t>с.</w:t>
</w:r>
<w:r><w:rPr /><w:t xml:space="preserve"> </w:t></w:r>
<w:r>
<w:rPr>
<w:rFonts w:ascii="Times New Roman"  w:hAnsi="Times New Roman"  w:cs="Times New Roman"  /> 
<w:color w:val="#000000" />
<w:sz w:val="24"  />
<w:szCs w:val="24"  />
</w:rPr>
<w:t> -</w:t>
</w:r>
<w:r><w:rPr /><w:t xml:space="preserve"> </w:t></w:r>
<w:r>
<w:rPr>
<w:rFonts w:ascii="Times New Roman"  w:hAnsi="Times New Roman"  w:cs="Times New Roman"  /> 
<w:color w:val="#000000" />
<w:sz w:val="24"  />
<w:szCs w:val="24"  />
</w:rPr>
<w:t> ISBN:</w:t>
</w:r>
<w:r><w:rPr /><w:t xml:space="preserve"> </w:t></w:r>
<w:r>
<w:rPr>
<w:rFonts w:ascii="Times New Roman"  w:hAnsi="Times New Roman"  w:cs="Times New Roman"  /> 
<w:color w:val="#000000" />
<w:sz w:val="24"  />
<w:szCs w:val="24"  />
</w:rPr>
<w:t>2227-8397.</w:t>
</w:r>
<w:r><w:rPr /><w:t xml:space="preserve"> </w:t></w:r>
<w:r>
<w:rPr>
<w:rFonts w:ascii="Times New Roman"  w:hAnsi="Times New Roman"  w:cs="Times New Roman"  /> 
<w:color w:val="#000000" />
<w:sz w:val="24"  />
<w:szCs w:val="24"  />
</w:rPr>
<w:t>-</w:t>
</w:r>
<w:r><w:rPr /><w:t xml:space="preserve"> </w:t></w:r>
<w:r>
<w:rPr>
<w:rFonts w:ascii="Times New Roman"  w:hAnsi="Times New Roman"  w:cs="Times New Roman"  /> 
<w:color w:val="#000000" />
<w:sz w:val="24"  />
<w:szCs w:val="24"  />
</w:rPr>
<w:t>URL:</w:t>
</w:r>
<w:r><w:rPr /><w:t xml:space="preserve"> </w:t></w:r>
<w:r>
<w:rPr>
<w:rFonts w:ascii="Times New Roman"  w:hAnsi="Times New Roman"  w:cs="Times New Roman"  /> 
<w:color w:val="#000000" />
<w:sz w:val="24"  />
<w:szCs w:val="24"  />
</w:rPr>
<w:t>http://www.iprbookshop.ru/75586.html</w:t>
</w:r>
<w:r><w:rPr /><w:t xml:space="preserve"> </w:t></w:r>
</w:p>
</w:tc>
</w:tr>
</w:tbl>
<w:p />
<w:sectPr>
<w:pgSz w:w="11907"  w:h="16840" />
<w:pgMar w:top="567"  w:right="567"  w:bottom="540"  w:left="1134"  w:header="708"  w:footer="708"  w:gutter="0" />
<w:cols w:space="708" />
<w:docGrid w:linePitch="360" />
</w:sectPr>
</w:body>
</w:document>
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2023-2024_ФГОС3++2023_Бак-ЗФО-ПО(ФК)(23)_plx_Методология и методы педагогического исследования в сфере физической культуры и спорта</dc:title>
  <dc:creator>FastReport.NET</dc:creator>
</cp:coreProperties>
</file>